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Coupled Release–Transport Modeling and Tracer Flux Method for Per-Stage Production Allocation from Tracer-Proppant Breakthrough Curves</w:t>
      </w:r>
    </w:p>
    <w:p>
      <w:pPr>
        <w:pStyle w:val="Heading1"/>
      </w:pPr>
      <w:r>
        <w:t>Abstract</w:t>
      </w:r>
    </w:p>
    <w:p>
      <w:r>
        <w:rPr>
          <w:rFonts w:ascii="Times New Roman" w:hAnsi="Times New Roman"/>
          <w:sz w:val="24"/>
        </w:rPr>
        <w:t>Tracer proppants enable long-term per-stage production monitoring without downhole hardware, but extracting per-stage contribution rates from wellhead breakthrough curves (BTCs) requires jointly accounting for sustained tracer release from the polymer matrix and transport through the production tubing—a coupled inverse problem not addressed by current practice, which applies the Korsmeyer–Peppas (K‑P) model for batch release characterization and the advection–dispersion framework for transport interpretation separately. We develop a coupled release–transport model that decomposes the BTC into a Gaussian pulse (shut-in accumulation slug) and an erfc tail (sustained matrix-diffusion-controlled release), linked by a smooth hyperbolic-tangent transition. The six-parameter model is validated with an oleophilic epoxy/Fe₃O₄ tracer proppant (ESP‑T) in core displacement experiments. The dual-component formulation is statistically decisive over four single-component alternatives (ΔAICc = 32.7, F-test p &lt; 10⁻⁶, R² = 0.9939). The fitted flow rate (0.46 mL/min) agrees with the independent pump setting (0.50 mL/min) within 8% without being constrained in the objective function. The Peclet number (Pe = 0.934) independently confirms the non-Fickian transport mechanism identified via K‑P kinetics (n = 0.45–0.85). The erfc tail accounts for 47% of the integrated signal, a result stable to within ±0.8% across a six-fold variation in the transition width. Under two-phase flow, the oil-phase tracer mass flux eliminates water-dilution artifacts and tracks oil production rates (Pearson r = 0.97, RMSD = 8.3%). The framework enables per-interval production allocation from wellhead samples alone, requiring no downhole tools and only a single shut-in.</w:t>
      </w:r>
    </w:p>
    <w:p>
      <w:pPr>
        <w:pStyle w:val="Heading1"/>
      </w:pPr>
      <w:r>
        <w:t>Keywords</w:t>
      </w:r>
    </w:p>
    <w:p>
      <w:r>
        <w:rPr>
          <w:rFonts w:ascii="Times New Roman" w:hAnsi="Times New Roman"/>
          <w:sz w:val="24"/>
        </w:rPr>
        <w:t>Tracer proppant; Breakthrough curve; Advection–dispersion equation; Release kinetics; Production allocation; Two-phase flow; Epoxy resin; Tracer flux</w:t>
      </w:r>
    </w:p>
    <w:p>
      <w:pPr>
        <w:pStyle w:val="Heading1"/>
      </w:pPr>
      <w:r>
        <w:t>1. Introduction</w:t>
      </w:r>
    </w:p>
    <w:p>
      <w:r>
        <w:rPr>
          <w:rFonts w:ascii="Times New Roman" w:hAnsi="Times New Roman"/>
          <w:sz w:val="24"/>
        </w:rPr>
        <w:t>Multi-stage hydraulic fracturing has enabled economic production from unconventional reservoirs, but completion diagnostics remain hindered by a persistent question: how much does each fracture stage produce? Production logging across hundreds of horizontal wells revealed that approximately 30–40% of perforation clusters contribute negligibly to production [1], motivating two decades of work on completion optimization and re-stimulation strategies [2,3]. Yet the ability to routinely measure per-stage contribution at the surface has not kept pace. Production logging tools require well intervention via coiled tubing or tractor and capture only a snapshot of the inflow profile [4]. Distributed fiber-optic sensing—both distributed temperature sensing (DTS) and distributed acoustic sensing (DAS)—has enabled real-time monitoring of stimulation operations and qualitative inflow profiling without intervention [5,6], but permanent fiber installation and surface instrumentation remain costly [7]. Microseismic monitoring characterizes stimulated reservoir volume rather than production contribution per stage [3,8]. A method that delivers quantitative per-stage production allocation from surface samples alone—without downhole tools, permanent installation, or repeated well intervention—would fundamentally change completion diagnostics.</w:t>
      </w:r>
    </w:p>
    <w:p>
      <w:r>
        <w:rPr>
          <w:rFonts w:ascii="Times New Roman" w:hAnsi="Times New Roman"/>
          <w:sz w:val="24"/>
        </w:rPr>
        <w:t>Tracer technology offers a pathway toward this method. Since the first documented oilfield tracer test using radioactive iodine in 1954 [9], tracer methods have evolved from qualitative inter-well connectivity assessment to quantitative residual oil saturation measurement via partitioning inter-well tracer tests [10,11] and, more recently, to stage-level inflow profiling in multi-stage fractured wells [12]. Tracer proppants—in which a chemical tracer is immobilized within a solid proppant carrier and co-injected with the proppant pack—offer a key advantage: the tracer remains in the fracture after placement, enabling long-term monitoring from surface samples without repeated injection. A growing body of material designs has been demonstrated: Zhao et al. (2020) used solvent-evaporated dye coatings on ceramic proppants [13]; Zhou et al. (2022) encapsulated carbon quantum dots in polymer-coated ceramics [14]; Li et al. (2023) developed rare-earth-doped polymer coatings for multi-element coding [15]; Gong et al. (2024) synthesized oleophilic Fe₃O₄/polystyrene microspheres for oil-phase selective release [16]; Ren et al. (2024) prepared multi-colored dye-tracer proppants for quantitative flowback assessment [17]; and Malyavko et al. (2023) demonstrated quantum-dot-encoded polymer microspheres for fluid-phase-resolved inflow profiling [18]. Across these diverse material platforms, a common interpretation gap persists: existing methods can confirm which stages produce, but cannot quantify how much each stage produces from the breakthrough curve alone, because the observed signal is shaped jointly by the unknown tracer release rate and the unknown transport parameters of the production system.</w:t>
      </w:r>
    </w:p>
    <w:p>
      <w:r>
        <w:rPr>
          <w:rFonts w:ascii="Times New Roman" w:hAnsi="Times New Roman"/>
          <w:sz w:val="24"/>
        </w:rPr>
        <w:t>The release side of this coupled problem is addressed by the Korsmeyer–Peppas (K‑P) power-law model. Originally developed for drug delivery systems [19,20] and extended to coupling of diffusion and polymer relaxation [21], the K‑P model C/C₀ = K·tⁿ identifies the release mechanism through the diffusional exponent n and provides the temperature-dependent rate constant K. This framework has been productively applied to characterize release from diverse tracer-proppant systems including rare-earth-doped polymer coatings [15], polystyrene-encapsulated Fe₃O₄ nanoparticles [16], epoxy-matrix sustained-release tracers [22], and nano-Fe₃O₄ tracers in copolymer matrices [23]. However, K‑P is fundamentally a zero-dimensional batch description: it characterizes release into a well-mixed vessel with no spatial coordinate, no flow field, and no pathway from a release rate to a concentration measured at a distant sampling point. Alone, it cannot predict the wellhead concentration—the quantity that encodes production information.</w:t>
      </w:r>
    </w:p>
    <w:p>
      <w:r>
        <w:rPr>
          <w:rFonts w:ascii="Times New Roman" w:hAnsi="Times New Roman"/>
          <w:sz w:val="24"/>
        </w:rPr>
        <w:t>On the transport side, the one-dimensional advection–dispersion equation (ADE) provides a mature analytical framework for interpreting breakthrough curves. Van Genuchten and Alves (1982) compiled analytical solutions covering a wide range of boundary and initial conditions [24]; the temporal moments of a BTC yield the mean residence time and dispersivity. Full-curve ADE inversion has been applied to determine reservoir properties from inter-well tracer tests [25], to interpret physical mechanisms in partitioning tracer tests [26], to model chemical tracer transport under two-phase flow via analytical solutions [27], and to describe tracer transfer in multi-stage fractured wells [28]. A comprehensive review of tracer testing techniques [29] confirms that ADE-based interpretation remains the standard approach across the petroleum industry. The common premise across these applications, however, is that the tracer source term is known—an injection pulse of specified mass, duration, and location. A tracer-proppant BTC violates this premise: the source is not a single operator-controlled injection but a sustained, matrix-diffusion-controlled release. No existing framework couples the sustained release source term to the ADE transport solution.</w:t>
      </w:r>
    </w:p>
    <w:p>
      <w:r>
        <w:rPr>
          <w:rFonts w:ascii="Times New Roman" w:hAnsi="Times New Roman"/>
          <w:sz w:val="24"/>
        </w:rPr>
        <w:t>In this work, we close this gap by coupling the release source term to the ADE transport solution. We construct a piecewise release–transport model that decomposes the BTC into two physically motivated components: a Gaussian pulse (shut-in accumulation slug) and an erfc tail (sustained matrix-diffusion-controlled release), linked by a C¹-continuous hyperbolic-tangent transition. Six parameters are estimated simultaneously from a single BTC by nonlinear least squares. The model is validated through a predictive self-calibration test: the flow rate Q is left entirely unconstrained in the objective function; the model must recover the independently set pump flow rate from the BTC shape alone. Applied to an oleophilic epoxy/Fe₃O₄ tracer proppant (ESP‑T) in core displacement experiments, the model recovers Q = 0.46 mL/min against the pump setting of 0.50 mL/min—a deviation of 8%. Epoxy resins offer high mechanical strength, thermal stability, and chemical resistance compared to thermoplastic alternatives [30–32], and their ability to sustain controlled tracer release has been demonstrated in both water-soluble [22] and oil-soluble configurations [33]. The Peclet number (Pe = 0.934) independently corroborates the non-Fickian transport mechanism identified from static K‑P batch kinetics (n = 0.45–0.85)—two completely separate experiments converging on the same dispersion-dominated transport picture. We then introduce a tracer flux method for production allocation under two-phase flow: the oil-phase tracer mass flux F_O = C_oil × Q_oil is invariant with total flow rate at a given oil–water ratio (Pearson r = 0.97, RMSD = 8.3%), eliminating the dilution artifact. By doping each fracture stage with a distinct tracer element, per-stage contribution rates are obtained as (F_O,i / C_i) / Σ(F_O,j / C_j) from periodic ICP‑MS wellhead samples alone. We validate the complete framework in single-phase and two-phase core displacement experiments, and outline the pathway to multi-stage field deployment.</w:t>
      </w:r>
    </w:p>
    <w:p>
      <w:pPr>
        <w:pStyle w:val="Heading1"/>
      </w:pPr>
      <w:r>
        <w:t>2. Experimental</w:t>
      </w:r>
    </w:p>
    <w:p>
      <w:pPr>
        <w:pStyle w:val="Heading2"/>
      </w:pPr>
      <w:r>
        <w:t>2.1 Materials</w:t>
      </w:r>
    </w:p>
    <w:p>
      <w:r>
        <w:rPr>
          <w:rFonts w:ascii="Times New Roman" w:hAnsi="Times New Roman"/>
          <w:sz w:val="24"/>
        </w:rPr>
        <w:t>Analytical grade reagents—including FeCl₃ (≥99.0%), FeCl₂·4H₂O (≥99.0%), MnCl₂·6H₂O (≥99.0%), stearic acid (≥99.5%), and anhydrous ethanol—were purchased from Chengdu Kelong Chemical Co., Ltd. Industrial grade materials included guar gum, E51 epoxy resin (epoxy value 0.48–0.54 mol/100 g, Nantong Xingchen Synthetic Materials), T31 curing agent (phenolic amine, ≥95% effective component), and hollow glass microspheres (≥99% purity). Dodecane (≥99%, Chengdu Kelong) served as the model oil phase. All reagents were used as received. Detailed specifications are provided in Table S1 (Supplementary Material).</w:t>
      </w:r>
    </w:p>
    <w:p>
      <w:pPr>
        <w:pStyle w:val="Heading2"/>
      </w:pPr>
      <w:r>
        <w:t>2.2 ESP‑T Synthesis</w:t>
      </w:r>
    </w:p>
    <w:p>
      <w:r>
        <w:rPr>
          <w:rFonts w:ascii="Times New Roman" w:hAnsi="Times New Roman"/>
          <w:sz w:val="24"/>
        </w:rPr>
        <w:t>ESP‑T was synthesized in three steps. (i) Stearic acid-modified nano-Fe₃O₄ (nano-Fe₃O₄@SA) was prepared by co-precipitation: 2.703 g FeCl₃ and 1.15 g FeCl₂·4H₂O in 100 mL deionized water at 80 °C under N₂, doped with 2 × 10⁻⁵ mol MnCl₂·6H₂O; 5.5 mL NH₃·H₂O was added, and the reaction proceeded at pH 10 for 2 h. The black precipitate was magnetically separated, washed to neutrality, and sonicated with ethanolic stearic acid for oleophilic surface modification. (ii) A pre-mixture of 20 mL E51 epoxy resin, ~0.75 g nano-Fe₃O₄@SA (~3.3 wt% of the final formulation), 1 g hollow glass microspheres, and 7 g T31 curing agent was homogenized. (iii) The pre-mixture was emulsified in a SiO₂/guar gum aqueous dispersion and cured at 50 °C for 1 h, then rinsed and dried at 80 °C for 10 h. Pure epoxy microspheres were prepared identically without nano-Fe₃O₄@SA as a reference. The co-precipitation method accommodates other transition metals (Zn, Cu, Co, Ni) and rare earth elements (Eu, Dy, Nd) for multi-stage tracer coding.</w:t>
      </w:r>
    </w:p>
    <w:p>
      <w:pPr>
        <w:pStyle w:val="Heading2"/>
      </w:pPr>
      <w:r>
        <w:t>2.3 Characterization</w:t>
      </w:r>
    </w:p>
    <w:p>
      <w:r>
        <w:rPr>
          <w:rFonts w:ascii="Times New Roman" w:hAnsi="Times New Roman"/>
          <w:sz w:val="24"/>
        </w:rPr>
        <w:t>Microstructure and elemental distribution were characterized by scanning electron microscopy with energy-dispersive X-ray spectroscopy (SEM‑EDS, ZEISS Sigma 500) and optical microscopy (Leica DM2700P). Thermal stability was evaluated by thermogravimetric analysis and differential scanning calorimetry (TGA/DSC, TA Instruments Q500, air atmosphere, 10 °C/min, 50–800 °C). Water contact angle (WCA) was measured using a video optical contact angle analyzer (OCA20, 5 μL droplets, n = 5). Physical and mechanical properties—including bulk density, apparent density, sphericity, roundness, acid solubility (HCl 12 wt%/HF 3 wt%, 65 °C, 30 min), and crush rate (52 MPa, 2 min)—were evaluated per SY/T 5107–2016. Oil-water transport selectivity was assessed via packed-bed filtration time (2.0 g proppant, 20 mL fluid, 200-mesh screen). Detailed protocols are provided in the Supplementary Material (Section S2).</w:t>
      </w:r>
    </w:p>
    <w:p>
      <w:pPr>
        <w:pStyle w:val="Heading2"/>
      </w:pPr>
      <w:r>
        <w:t>2.4 Batch Release Kinetics</w:t>
      </w:r>
    </w:p>
    <w:p>
      <w:r>
        <w:rPr>
          <w:rFonts w:ascii="Times New Roman" w:hAnsi="Times New Roman"/>
          <w:sz w:val="24"/>
        </w:rPr>
        <w:t>ESP‑T (5 g, 40–70 mesh) was immersed in 100 mL dodecane in sealed glass vials placed in thermostatic oil baths at 30, 60, 90, and 120 °C. Sampling was conducted at 12 h intervals over 14 days; tracer metal ion concentration was quantified by inductively coupled plasma mass spectrometry (ICP‑MS, PerkinElmer NexION 300X). Release data within M_t/M_∞ &lt; 0.6—the range in which the Korsmeyer–Peppas power law C/C₀ = K·tⁿ is valid—were fitted to determine the kinetic parameters K and n.</w:t>
      </w:r>
    </w:p>
    <w:p>
      <w:pPr>
        <w:pStyle w:val="Heading2"/>
      </w:pPr>
      <w:r>
        <w:t>2.5 Core Displacement Experiments</w:t>
      </w:r>
    </w:p>
    <w:p>
      <w:r>
        <w:rPr>
          <w:rFonts w:ascii="Times New Roman" w:hAnsi="Times New Roman"/>
          <w:sz w:val="24"/>
        </w:rPr>
        <w:t>A dynamic displacement apparatus was used to simulate single-interval production. A steel core was packed with ESP‑T, sealed with 200-mesh screens, and placed in a core holder under 5 MPa confining pressure. The production tubing connecting the core outlet to the sampling point was 1 m in length with an inner diameter of 1 mm. For single-phase experiments, the system was saturated with dodecane at 5 mL/min, shut in for 96 h to allow tracer accumulation, then displaced at a pump setting of 0.50 mL/min. The pump setting serves as the independent flow-rate reference for model validation (Section 4.3). Effluent was sampled at 4-min intervals (2 mL per sample, 21 samples) and analyzed by ICP‑MS to construct the BTC. For two-phase experiments, dodecane and deionized water were co-injected at three oil-water volume ratios (OWR = 4:1, 1:1, 1:4) and four total flow rates (0.1–0.4 mL/min) under steady-state flow. Sampling was conducted at 5-min intervals; both the OWR and tracer concentration were recorded.</w:t>
      </w:r>
    </w:p>
    <w:p>
      <w:pPr>
        <w:pStyle w:val="Heading1"/>
      </w:pPr>
      <w:r>
        <w:t>3. Model Development</w:t>
      </w:r>
    </w:p>
    <w:p>
      <w:pPr>
        <w:pStyle w:val="Heading2"/>
      </w:pPr>
      <w:r>
        <w:t>3.1 Physical Basis</w:t>
      </w:r>
    </w:p>
    <w:p>
      <w:r>
        <w:rPr>
          <w:rFonts w:ascii="Times New Roman" w:hAnsi="Times New Roman"/>
          <w:sz w:val="24"/>
        </w:rPr>
        <w:t>The core displacement protocol imposes a tracer history that any quantitative interpretation must respect. During the 96-h shut-in, tracer continuously diffuses from the epoxy matrix into the proppant pack and the near-wellbore region (Source I: shut-in accumulation slug). When flow resumes, this accumulated tracer is swept toward the sampling point as a coherent slug. Simultaneously, the polymer matrix continues to release tracer after flow resumes—the model oil continually contacts the proppant surface, swelling progresses, and tracer diffuses through the gel layer into the flowing stream (Source II: sustained matrix-diffusion-controlled release). These two sources are physically irreducible—they are consequences of the experimental shut-in, not modeling choices.</w:t>
      </w:r>
    </w:p>
    <w:p>
      <w:pPr>
        <w:pStyle w:val="Heading2"/>
      </w:pPr>
      <w:r>
        <w:t>3.2 Governing Equations</w:t>
      </w:r>
    </w:p>
    <w:p>
      <w:r>
        <w:rPr>
          <w:rFonts w:ascii="Times New Roman" w:hAnsi="Times New Roman"/>
          <w:sz w:val="24"/>
        </w:rPr>
        <w:t>Tracer transport is governed by the one-dimensional ADE, ∂C/∂t + v·∂C/∂x = D·∂²C/∂x², where v is the cross-section-averaged flow velocity and D = α·v is the longitudinal dispersion coefficient (α = dispersivity). The model employs effective transport parameters that describe the combined response of the core, proppant pack, and production tubing. For an instantaneous pulse injection, the classical solution is C(x,t) = (M/A_cross)·(1/√(4πDt))·exp(−(x − vt)²/(4Dt)). Substituting the tube-flow relations yields the dimensionless working variable z = (xπd² − 4Qt) / √(16αQtπd²), where x and d are effective length and diameter scales, not literal tubing dimensions. Source I enters as the Gaussian rise component C_rise(t) = c_b + (A·d)/√(16παQt·d²) × exp(−z²). Source II enters as the erfc fall component C_fall(t) = c_b + (a/2) × erfc(−z). The two components are blended through a C¹-continuous hyperbolic-tangent weight function w(t) = ½[1 + tanh((t₀ − t)/σ)], yielding the full model: C(t) = c_b + w(t)·C_rise(t) + [1 − w(t)]·C_fall(t).</w:t>
      </w:r>
    </w:p>
    <w:p>
      <w:pPr>
        <w:pStyle w:val="Heading2"/>
      </w:pPr>
      <w:r>
        <w:t>3.3 Parameter Estimation and Model Selection</w:t>
      </w:r>
    </w:p>
    <w:p>
      <w:r>
        <w:rPr>
          <w:rFonts w:ascii="Times New Roman" w:hAnsi="Times New Roman"/>
          <w:sz w:val="24"/>
        </w:rPr>
        <w:t>Equation (1) contains seven fitted coefficients: baseline c_b, pulse amplitude A, tail amplitude a, dispersivity α, effective flow rate Q, crossover time t₀, and transition width σ. Derived transport properties are Pe = x/α, v = 4Q/(πd²), and MRT = x/v. The inverse problem—extracting transport and release parameters from a single BTC—was solved by a two-pass estimation strategy: global basin location via differential evolution (four independent seeds, wide parameter bounds) followed by gradient-based local refinement. Q was bounded to [10, 5000] in model units (corresponding to a wide effective range) with no penalty, prior, or constraint directing the search toward the pump value. The identical protocol was applied to all five candidate models to ensure fair comparison. Full optimization details are provided in the Supplementary Material (Section S5.3).</w:t>
      </w:r>
    </w:p>
    <w:p>
      <w:pPr>
        <w:pStyle w:val="Heading1"/>
      </w:pPr>
      <w:r>
        <w:t>4. Results and Discussion</w:t>
      </w:r>
    </w:p>
    <w:p>
      <w:pPr>
        <w:pStyle w:val="Heading2"/>
      </w:pPr>
      <w:r>
        <w:t>4.1 ESP‑T Characterization</w:t>
      </w:r>
    </w:p>
    <w:p>
      <w:r>
        <w:rPr>
          <w:rFonts w:ascii="Times New Roman" w:hAnsi="Times New Roman"/>
          <w:sz w:val="24"/>
        </w:rPr>
        <w:t>SEM micrographs confirm that ESP‑T microspheres exhibit excellent sphericity (&gt;0.9) with no inter-particle agglomeration. Elemental mapping confirms Fe distributed throughout the particle cross-section, consistent with bulk encapsulation. TGA/DSC identifies the primary epoxy decomposition at 357 °C (DTG peak), far exceeding typical downhole temperatures (80–200 °C). Stearic acid modification increases the water contact angle from 72.3° (pure epoxy) to 104.6° (ESP‑T, hydrophobic). ESP‑T exhibits a bulk density of 0.646 g/cm³ (&lt;1.0 g/cm³, enabling self-suspension), acid solubility of 3.3% (&lt;5% per SY/T 5107–2016), and a crush rate of 2.9% at 52 MPa. The water/oil passage time ratio of 5.53 quantitatively confirms the oleophilic surface character.</w:t>
      </w:r>
    </w:p>
    <w:p>
      <w:pPr>
        <w:pStyle w:val="Heading2"/>
      </w:pPr>
      <w:r>
        <w:t>4.2 Temperature-Dependent Tracer Release Kinetics</w:t>
      </w:r>
    </w:p>
    <w:p>
      <w:r>
        <w:rPr>
          <w:rFonts w:ascii="Times New Roman" w:hAnsi="Times New Roman"/>
          <w:sz w:val="24"/>
        </w:rPr>
        <w:t>Tracer release from ESP‑T in dodecane was measured at 30, 60, 90, and 120 °C. Release accelerates with temperature throughout the 14-day measurement period. The K‑P model was fitted within its validated range (M_t/M_∞ &lt; 0.6; Table 2). The rate constant K increases systematically from 0.0554 (30 °C) to 0.1964 (120 °C), and all n values fall within 0.45–0.85 (R² &gt; 0.94 at every temperature), corresponding to anomalous (non-Fickian) transport co-governed by Fickian diffusion and Case-II polymer relaxation. The physical picture is one of solvent-driven swelling: dodecane permeates the cross-linked epoxy network, generating an inner glassy core and an outer gel layer; swelling expands transport channels through which doped metal ions diffuse into the external medium.</w:t>
      </w:r>
    </w:p>
    <w:p>
      <w:pPr>
        <w:pStyle w:val="Heading2"/>
      </w:pPr>
      <w:r>
        <w:t>4.3 BTC Decomposition and Model Validation</w:t>
      </w:r>
    </w:p>
    <w:p>
      <w:r>
        <w:rPr>
          <w:rFonts w:ascii="Times New Roman" w:hAnsi="Times New Roman"/>
          <w:sz w:val="24"/>
        </w:rPr>
        <w:t>Table 3 compares the dual-component model against four single-component alternatives fitted to the same BTC dataset using the identical protocol. The dual-component model achieves R² = 0.9939 (RMSE = 0.0210), decisively outperforming the single Gaussian (R² = 0.9482, ΔAICc = 32.7), single erfc (R² = 0.7159, ΔAICc = 68.4), exponential decay (R² = 0.7517, ΔAICc = 62.5), and K‑P power law (R² = −0.0193, ΔAICc = 92.2). An F-test decisively rejects the simpler single-Gaussian model (F(3, 14) = 34.70, p &lt; 10⁻⁶). This evidence is necessary but not sufficient: ΔAICc eliminates the single-process alternatives, but cannot by itself establish that the dual-component structure is physically correct.</w:t>
      </w:r>
    </w:p>
    <w:p>
      <w:r>
        <w:rPr>
          <w:rFonts w:ascii="Times New Roman" w:hAnsi="Times New Roman"/>
          <w:sz w:val="24"/>
        </w:rPr>
        <w:t>The decisive test of physical validity is the recovery of the independently known pump flow rate. The model was fitted with Q unconstrained in the objective function; the optimizer was free to assign Q any value within wide effective bounds. It consistently converged to 0.46 mL/min across four independent global searches, against the pump setting of 0.50 mL/min—a deviation of 8% (Fig. 1c). An incorrect model structure could have achieved comparable R² with an arbitrary Q by compensating with other parameters. The fact that Q emerges at 0.46 mL/min, entirely unforced, constitutes evidence that the model structure captures the actual transport physics.</w:t>
      </w:r>
    </w:p>
    <w:p>
      <w:r>
        <w:rPr>
          <w:rFonts w:ascii="Times New Roman" w:hAnsi="Times New Roman"/>
          <w:sz w:val="24"/>
        </w:rPr>
        <w:t>Separating the fitted curve into its two components (Fig. 1a) reveals that the Gaussian pulse accounts for 53% and the erfc tail 47% of the integrated tracer signal over the 105-min measurement window. The fitted crossover time t₀ = 25.66 min marks the transition from pulse-dominated to tail-dominated behavior, with σ = 3.96 min approximately equal to the 4-min sampling interval.</w:t>
      </w:r>
    </w:p>
    <w:p>
      <w:r>
        <w:rPr>
          <w:rFonts w:ascii="Times New Roman" w:hAnsi="Times New Roman"/>
          <w:sz w:val="24"/>
        </w:rPr>
        <w:t>The Peclet number derived from the fit, Pe = x/α = 0.934 ≈ 1, indicates that convection and dispersion contribute approximately equally to tracer transport—a signature of non-piston, dispersion-influenced displacement. This result is independently corroborated by the K‑P kinetic analysis (Section 4.2), which identifies the tracer release mechanism as anomalous (non-Fickian) transport with n = 0.45–0.85 across all four temperatures. These two findings emerge from completely separate experiments: the K‑P analysis from static batch release in glass vials, and the Pe from dynamic core-flood BTC fitting. Their convergence on the same physical picture—that tracer transport is governed by coupled diffusion and advection, with neither mechanism dominant—provides strong, independent evidence that both the release characterization and the transport model are physically sound.</w:t>
      </w:r>
    </w:p>
    <w:p>
      <w:pPr>
        <w:pStyle w:val="Heading2"/>
      </w:pPr>
      <w:r>
        <w:t>4.4 Signal Decomposition Robustness</w:t>
      </w:r>
    </w:p>
    <w:p>
      <w:r>
        <w:rPr>
          <w:rFonts w:ascii="Times New Roman" w:hAnsi="Times New Roman"/>
          <w:sz w:val="24"/>
        </w:rPr>
        <w:t>To verify that the 47% erfc tail contribution is not an artifact of the chosen transition width, σ was varied from 1.98 to 11.89 min (a six-fold range, 0.5×–3.0× the fitted value) while holding the other six parameters fixed. The erfc tail contribution varies by less than one percentage point across the entire scan range (46.8–47.5%), confirming that the decomposition is a robust structural feature of the BTC rather than a parametrically tuned outcome.</w:t>
      </w:r>
    </w:p>
    <w:p>
      <w:pPr>
        <w:pStyle w:val="Heading2"/>
      </w:pPr>
      <w:r>
        <w:t>4.5 Two-Phase Production Allocation via Tracer Flux</w:t>
      </w:r>
    </w:p>
    <w:p>
      <w:r>
        <w:rPr>
          <w:rFonts w:ascii="Times New Roman" w:hAnsi="Times New Roman"/>
          <w:sz w:val="24"/>
        </w:rPr>
        <w:t>Under steady-state two-phase flow, the tracer concentration C_oil measured at the outlet decreases with increasing total flow rate Q_total—a consequence of dilution. Concentration alone is therefore a poor proxy for the production rate. We resolve this by working with the oil-phase tracer mass flux F_O = C_oil × Q_oil. At steady state, F_O equals the release rate from the ESP‑T pack and is independent of Q_total—it reflects only what the proppant releases, governed by the oil-wetted surface area. This is confirmed experimentally: at each OWR, F_O remains approximately constant across the full range of total flow rates (0.1–0.4 mL/min). Normalizing by the single-phase reference flux F_O,ref = 3.187 ± 0.15 μg/min (triplicate), the normalized flux tracks the independently known oil flow rate across all three OWR conditions (Pearson r = 0.97, RMSD = 8.3%).</w:t>
      </w:r>
    </w:p>
    <w:p>
      <w:pPr>
        <w:pStyle w:val="Heading1"/>
      </w:pPr>
      <w:r>
        <w:t>5. Implications for Field-Scale Deployment</w:t>
      </w:r>
    </w:p>
    <w:p>
      <w:r>
        <w:rPr>
          <w:rFonts w:ascii="Times New Roman" w:hAnsi="Times New Roman"/>
          <w:sz w:val="24"/>
        </w:rPr>
        <w:t>The coupled framework—K‑P kinetics → ADE model → tracer flux method—provides a complete pathway from wellhead concentration measurements to per-stage production allocation. For a multi-stage well, each fracture stage is assigned a distinct tracer element (e.g., Mn, Zn, Cu, Eu, Dy) doped into the ESP‑T matrix. After a single shut-in, produced fluid is sampled at the wellhead and analyzed by ICP‑MS to obtain the concentration C_i of each tracer element. During flowback, the full BTC of each element is recorded; the ADE model decomposes each BTC into its shut-in slug and sustained-release components and provides the Peclet number for transport regime diagnosis. During steady production, periodic sampling yields the steady-state concentration C_i,ss. The per-stage contribution rate is: Contribution_i = (F_O,i / C_i) / Σ(F_O,j / C_j), where F_O,i is the calibrated tracer flux for stage i, obtained from laboratory reference measurements scaled by the proppant mass and reservoir temperature using the K‑P-derived temperature dependence.</w:t>
      </w:r>
    </w:p>
    <w:p>
      <w:r>
        <w:rPr>
          <w:rFonts w:ascii="Times New Roman" w:hAnsi="Times New Roman"/>
          <w:sz w:val="24"/>
        </w:rPr>
        <w:t>Several limitations define the path from laboratory demonstration to field deployment. The framework has been validated on a single interval at laboratory scale; multi-interval configurations remain untested. All experiments used dodecane as the model oil; crude oil introduces additional complexity. The chemical stability of the epoxy matrix in aggressive downhole environments (H₂S, CO₂, high-salinity brines, &gt;120 °C) has not been evaluated. The flux calibration is based on three OWR levels; a larger matrix would strengthen the calibration. Batch-specific F_O,ref determination is advisable for field deployment.</w:t>
      </w:r>
    </w:p>
    <w:p>
      <w:pPr>
        <w:pStyle w:val="Heading1"/>
      </w:pPr>
      <w:r>
        <w:t>6. Conclusions</w:t>
      </w:r>
    </w:p>
    <w:p>
      <w:r>
        <w:rPr>
          <w:rFonts w:ascii="Times New Roman" w:hAnsi="Times New Roman"/>
          <w:sz w:val="24"/>
        </w:rPr>
        <w:t>A coupled release–transport model was developed that decomposes a tracer-proppant breakthrough curve into a Gaussian pulse (shut-in accumulation slug) and an erfc tail (sustained matrix-diffusion-controlled release), linked by a C¹-continuous hyperbolic-tangent transition. The dual-component structure is statistically decisive over four single-process alternatives (ΔAICc = 32.7, F-test p &lt; 10⁻⁶, R² = 0.9939).</w:t>
      </w:r>
    </w:p>
    <w:p>
      <w:r>
        <w:rPr>
          <w:rFonts w:ascii="Times New Roman" w:hAnsi="Times New Roman"/>
          <w:sz w:val="24"/>
        </w:rPr>
        <w:t>The model recovers the independently set pump flow rate (0.50 mL/min) as 0.46 mL/min—a deviation of 8%—with Q unconstrained in the objective function, demonstrating that the model structure captures the actual transport physics rather than merely fitting the curve.</w:t>
      </w:r>
    </w:p>
    <w:p>
      <w:r>
        <w:rPr>
          <w:rFonts w:ascii="Times New Roman" w:hAnsi="Times New Roman"/>
          <w:sz w:val="24"/>
        </w:rPr>
        <w:t>The Peclet number (Pe = 0.934 ≈ 1) independently corroborates the non-Fickian transport mechanism (n = 0.45–0.85) identified from static K‑P batch kinetics—two completely separate experiments converging on the same dispersion-influenced transport picture.</w:t>
      </w:r>
    </w:p>
    <w:p>
      <w:r>
        <w:rPr>
          <w:rFonts w:ascii="Times New Roman" w:hAnsi="Times New Roman"/>
          <w:sz w:val="24"/>
        </w:rPr>
        <w:t>The erfc tail accounts for approximately 47% of the integrated tracer signal, stable to within ±0.8 percentage points across a six-fold variation in the transition width, confirming that sustained matrix-diffusion-controlled release contributes nearly half of the total detected tracer.</w:t>
      </w:r>
    </w:p>
    <w:p>
      <w:r>
        <w:rPr>
          <w:rFonts w:ascii="Times New Roman" w:hAnsi="Times New Roman"/>
          <w:sz w:val="24"/>
        </w:rPr>
        <w:t>A tracer flux method enables production allocation under two-phase flow: F_O = C_oil × Q_oil is invariant with total flow rate at a given oil–water ratio (r = 0.97, RMSD = 8.3%). For multi-stage wells, per-stage contribution rates are obtained as (F_O,i / C_i) / Σ(F_O,j / C_j) from periodic wellhead ICP‑MS samples, requiring no downhole tools and only a single shut-in.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