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Coupled Release–Transport Modeling and Tracer Flux Method for Per-Stage Production Allocation from Tracer-Proppant Breakthrough Curves</w:t>
      </w:r>
    </w:p>
    <w:p>
      <w:pPr>
        <w:pStyle w:val="Heading1"/>
      </w:pPr>
      <w:r>
        <w:t>Abstract</w:t>
      </w:r>
    </w:p>
    <w:p>
      <w:r>
        <w:rPr>
          <w:rFonts w:ascii="Times New Roman" w:hAnsi="Times New Roman"/>
          <w:sz w:val="24"/>
        </w:rPr>
        <w:t>Tracer proppants enable long-term per-stage production monitoring without downhole hardware, but extracting per-stage contribution rates from wellhead breakthrough curves (BTCs) requires jointly accounting for sustained tracer release from the polymer matrix and transport through the production tubing—a coupled inverse problem not addressed by current practice, which applies the Korsmeyer–Peppas (K‑P) model for batch release characterization and the advection–dispersion framework for transport interpretation separately. We develop a coupled release–transport model that decomposes the BTC into a Gaussian pulse (shut-in accumulation slug) and an erfc tail (sustained matrix-diffusion-controlled release), linked by a smooth hyperbolic-tangent transition. Applied to an oleophilic epoxy/Fe₃O₄ tracer proppant (ESP‑T) in core displacement experiments with tubing of length 1 m and inner diameter 1 mm, the model recovers the independently set pump flow rate (0.50 mL/min) as 0.52 mL/min from the BTC shape alone—a deviation of 3.9% with Q unconstrained in the objective function (search bounds 0.01–5.0 mL/min). The fitted mean residence time (1.51 min) agrees with the independently computed convective travel time (1.57 min) to within 3.8%. The Peclet number (Pe = 0.75) independently corroborates the non-Fickian transport mechanism identified from static K‑P batch kinetics (n = 0.45–0.85), two completely separate experiments converging on the same dispersion-dominated transport picture. Under steady-state two-phase flow, the oil-phase tracer mass flux F_O = C_oil × Q_oil is invariant with total flow rate at a given oil–water ratio, eliminating the dilution artifact inherent in concentration-based interpretation (Pearson r = 0.97, RMSD = 8.3%). By doping each fracture stage with a distinct tracer element, per-stage contribution rates are obtained as (F_O,i / C_i) / Σ(F_O,j / C_j) from surface samples alone, requiring no downhole tools and only a single shut-in.</w:t>
      </w:r>
    </w:p>
    <w:p>
      <w:pPr>
        <w:pStyle w:val="Heading1"/>
      </w:pPr>
      <w:r>
        <w:t>Keywords</w:t>
      </w:r>
    </w:p>
    <w:p>
      <w:r>
        <w:rPr>
          <w:rFonts w:ascii="Times New Roman" w:hAnsi="Times New Roman"/>
          <w:sz w:val="24"/>
        </w:rPr>
        <w:t>Tracer proppant; Breakthrough curve; Advection–dispersion equation; Release kinetics; Production allocation; Two-phase flow; Epoxy resin; Tracer flux</w:t>
      </w:r>
    </w:p>
    <w:p>
      <w:pPr>
        <w:pStyle w:val="Heading1"/>
      </w:pPr>
      <w:r>
        <w:t>1. Introduction</w:t>
      </w:r>
    </w:p>
    <w:p>
      <w:r>
        <w:rPr>
          <w:rFonts w:ascii="Times New Roman" w:hAnsi="Times New Roman"/>
          <w:sz w:val="24"/>
        </w:rPr>
        <w:t>Multi-stage hydraulic fracturing has made horizontal wells the dominant production technology for unconventional reservoirs, but a fundamental operational question remains unresolved: how much oil does each fracture stage produce? Without per-stage contribution data, underperforming intervals go undiagnosed, well spacing and completion designs cannot be validated against production outcomes, and restimulation decisions rely on guesswork rather than evidence [1,2]. Existing downhole diagnostic tools each involve trade-offs that limit their routine use. Production logging requires well intervention and captures only a snapshot of the inflow profile at the moment of logging [3]. Distributed fiber-optic sensing provides continuous spatial resolution but demands permanent cable installation at a cost difficult to justify for marginal wells [4,5]. Microseismic monitoring characterizes fracture geometry, not production contribution [6]. A method that delivers per-stage production allocation from surface samples alone—without downhole hardware, without well intervention, and without repeated shut-ins—would transform completion diagnostics.</w:t>
      </w:r>
    </w:p>
    <w:p>
      <w:r>
        <w:rPr>
          <w:rFonts w:ascii="Times New Roman" w:hAnsi="Times New Roman"/>
          <w:sz w:val="24"/>
        </w:rPr>
        <w:t>Tracer proppants offer a pathway toward this goal. A tracer agent is immobilized within a solid proppant carrier and co-injected with the proppant pack during fracturing. The tracer remains in the fracture after placement and releases gradually into the produced fluid, generating a time-resolved concentration signal—the breakthrough curve (BTC)—that can be measured at the wellhead by ICP-MS for months after a single placement [7–10]. Interpreting this BTC to recover the stage flow rate, however, requires solving a coupled inverse problem: the observed concentration at the wellhead is shaped jointly by the unknown tracer release rate from the polymer matrix and the unknown transport parameters of the production system. These two sets of unknowns—release kinetics and transport dynamics—are superimposed in a single observable, and neither is known a priori.</w:t>
      </w:r>
    </w:p>
    <w:p>
      <w:r>
        <w:rPr>
          <w:rFonts w:ascii="Times New Roman" w:hAnsi="Times New Roman"/>
          <w:sz w:val="24"/>
        </w:rPr>
        <w:t>Current practice addresses release and transport separately, leaving the coupling unresolved. On the release side, tracer proppant performance is characterized exclusively through batch release measurements interpreted with the Korsmeyer–Peppas (K‑P) power law, C/C₀ = K·tⁿ [11,12]. The K‑P model identifies the release mechanism—Fickian diffusion for n ≤ 0.43, anomalous transport for 0.43 &lt; n &lt; 0.85, Case-II relaxation for n ≥ 0.85—and provides the temperature-dependent rate constant. But K‑P is a zero-dimensional batch model: it describes release into a well-mixed vessel with no spatial coordinate, no flow field, and no pathway from a release rate to a concentration measured at a distant sampling point. On the transport side, the one-dimensional advection–dispersion equation (ADE) has a mature analytical solution framework that relates BTC shape to transport parameters [13,14]. ADE-based interpretation has been applied to extract reservoir and fracture properties from tracer BTCs [15,16] and to model multi-stage tracer transport with phase partitioning [17]. The common premise across these applications, however, is that the tracer source term is known—an injection pulse of specified mass, duration, and location. A tracer-proppant BTC violates this premise: the source is not a single operator-controlled injection but a sustained, matrix-diffusion-controlled release whose rate parameters are unknown and whose duration spans the entire production period. No existing framework couples the sustained release source term to the transport solution. The practical consequence is that current tracer proppants can confirm which stages produce but cannot quantify how much each stage produces from the BTC alone.</w:t>
      </w:r>
    </w:p>
    <w:p>
      <w:r>
        <w:rPr>
          <w:rFonts w:ascii="Times New Roman" w:hAnsi="Times New Roman"/>
          <w:sz w:val="24"/>
        </w:rPr>
        <w:t>In this work, we develop a method that closes this gap in two steps. First, we construct a coupled release–transport model that decomposes the BTC into a Gaussian pulse (representing tracer that accumulated in the near-wellbore region during shut-in and is swept out as a coherent slug upon flowback) and an erfc tail (representing sustained matrix-diffusion-controlled release that continues after the main slug has passed), linked by a smooth hyperbolic-tangent transition. The model recovers the independently set pump flow rate (0.50 mL/min) as 0.52 mL/min—a deviation of 3.9%—with Q unconstrained in the objective function, and the fitted mean residence time (1.51 min) agrees with the independently computed convective travel time (1.57 min) to within 3.8%. The Peclet number (Pe = 0.75) independently corroborates the non-Fickian transport mechanism identified from static K‑P batch kinetics (n = 0.45–0.85). Second, we introduce a tracer flux method for production allocation: under steady-state flow, the oil-phase tracer mass flux F_O = C_oil × Q_oil is shown experimentally to be invariant with total flow rate at a given oil–water ratio, eliminating the dilution artifact that confounds concentration-based interpretation. By combining the K‑P temperature calibration, the ADE-based BTC decomposition, and the flux method, the per-stage contribution rate is obtained as Contribution_i = (F_O,i / C_i) / Σ(F_O,j / C_j) from surface samples alone. We validate the framework using an oleophilic epoxy/Fe₃O₄ tracer proppant (ESP‑T) in single-phase and two-phase core displacement experiments, and outline the pathway to field deployment with multi-element coding for per-stage signal separation.</w:t>
      </w:r>
    </w:p>
    <w:p>
      <w:pPr>
        <w:pStyle w:val="Heading1"/>
      </w:pPr>
      <w:r>
        <w:t>2. Experimental</w:t>
      </w:r>
    </w:p>
    <w:p>
      <w:pPr>
        <w:pStyle w:val="Heading2"/>
      </w:pPr>
      <w:r>
        <w:t>2.1 Materials</w:t>
      </w:r>
    </w:p>
    <w:p>
      <w:r>
        <w:rPr>
          <w:rFonts w:ascii="Times New Roman" w:hAnsi="Times New Roman"/>
          <w:sz w:val="24"/>
        </w:rPr>
        <w:t>Analytical grade reagents — including FeCl₃ (≥99.0%), FeCl₂·4H₂O (≥99.0%), MnCl₂·6H₂O (≥99.0%), stearic acid (≥99.5%), and anhydrous ethanol — were purchased from Chengdu Kelong Chemical Co., Ltd. Industrial grade materials included guar gum, E51 epoxy resin (epoxy value 0.48–0.54 mol/100 g, Nantong Xingchen Synthetic Materials), T31 curing agent (phenolic amine, ≥95% effective component), and hollow glass microspheres (≥99% purity). Dodecane (≥99%, Chengdu Kelong) served as the model oil phase. All reagents were used as received. Detailed specifications are provided in Table S1 (Supplementary Material).</w:t>
      </w:r>
    </w:p>
    <w:p>
      <w:pPr>
        <w:pStyle w:val="Heading2"/>
      </w:pPr>
      <w:r>
        <w:t>2.2 ESP‑T Synthesis</w:t>
      </w:r>
    </w:p>
    <w:p>
      <w:r>
        <w:rPr>
          <w:rFonts w:ascii="Times New Roman" w:hAnsi="Times New Roman"/>
          <w:sz w:val="24"/>
        </w:rPr>
        <w:t>ESP‑T was synthesized in three steps. (i) Stearic acid-modified nano-Fe₃O₄ (nano-Fe₃O₄@SA) was prepared by co-precipitation: 2.703 g FeCl₃ and 1.15 g FeCl₂·4H₂O in 100 mL deionized water at 80 °C under N₂, doped with 2 × 10⁻⁵ mol MnCl₂·6H₂O; 5.5 mL NH₃·H₂O was added, and the reaction proceeded at pH 10 for 2 h. The black precipitate was magnetically separated, washed to neutrality, and sonicated with ethanolic stearic acid for oleophilic surface modification, yielding nano-Fe₃O₄@SA at approximately 12.5 wt% solids in the ethanol mixture. (ii) A pre-mixture of 20 mL E51 epoxy resin, ~0.75 g nano-Fe₃O₄@SA (~3.3 wt% of the final formulation), 1 g hollow glass microspheres, and 7 g T31 curing agent was homogenized. (iii) The pre-mixture was emulsified in a SiO₂/guar gum aqueous dispersion and cured at 50 °C for 1 h, then rinsed and dried at 80 °C for 10 h. Pure epoxy microspheres were prepared identically without nano-Fe₃O₄@SA as a reference. Although Mn was used in this study, the co-precipitation method accommodates other transition metals (Zn, Cu, Co, Ni) and rare earth elements (Eu, Dy, Nd) for multi-stage tracer coding. Reagent specifications are listed in Table S1.</w:t>
      </w:r>
    </w:p>
    <w:p>
      <w:pPr>
        <w:pStyle w:val="Heading2"/>
      </w:pPr>
      <w:r>
        <w:t>2.3 Characterization</w:t>
      </w:r>
    </w:p>
    <w:p>
      <w:r>
        <w:rPr>
          <w:rFonts w:ascii="Times New Roman" w:hAnsi="Times New Roman"/>
          <w:sz w:val="24"/>
        </w:rPr>
        <w:t>Microstructure and elemental distribution were characterized by scanning electron microscopy with energy-dispersive X-ray spectroscopy (SEM‑EDS, ZEISS Sigma 500) and optical microscopy (Leica DM2700P). Thermal stability was evaluated by thermogravimetric analysis and differential scanning calorimetry (TGA/DSC, TA Instruments Q500, air atmosphere, 10 °C/min, 50–800 °C). Water contact angle (WCA) was measured using a video optical contact angle analyzer (OCA20, 5 μL droplets, n = 5). Physical and mechanical properties — including bulk density, apparent density, sphericity, roundness, acid solubility (HCl 12 wt%/HF 3 wt%, 65 °C, 30 min), and crush rate (52 MPa, 2 min) — were evaluated per SY/T 5107–2016. Oil-water transport selectivity was assessed via packed-bed filtration time (2.0 g proppant, 20 mL fluid, 200-mesh screen). Detailed protocols are provided in the Supplementary Material (Section S2).</w:t>
      </w:r>
    </w:p>
    <w:p>
      <w:pPr>
        <w:pStyle w:val="Heading2"/>
      </w:pPr>
      <w:r>
        <w:t>2.4 Batch Release Kinetics</w:t>
      </w:r>
    </w:p>
    <w:p>
      <w:r>
        <w:rPr>
          <w:rFonts w:ascii="Times New Roman" w:hAnsi="Times New Roman"/>
          <w:sz w:val="24"/>
        </w:rPr>
        <w:t>ESP‑T (5 g, 40–70 mesh) was immersed in 100 mL dodecane in sealed glass vials placed in thermostatic oil baths at 30, 60, 90, and 120 °C. Sampling was conducted at 12 h intervals over 14 days; the concentration of tracer-doped metal ions was quantified by inductively coupled plasma mass spectrometry (ICP‑MS, PerkinElmer NexION 300X). Release data within M_t/M_∞ &lt; 0.6 — the range in which the Korsmeyer–Peppas power law C/C₀ = K·tⁿ is valid — were fitted to determine the kinetic parameters K and n. The full release dataset is provided in Table S3.</w:t>
      </w:r>
    </w:p>
    <w:p>
      <w:pPr>
        <w:pStyle w:val="Heading2"/>
      </w:pPr>
      <w:r>
        <w:t>2.5 Core Displacement Experiments</w:t>
      </w:r>
    </w:p>
    <w:p>
      <w:r>
        <w:rPr>
          <w:rFonts w:ascii="Times New Roman" w:hAnsi="Times New Roman"/>
          <w:sz w:val="24"/>
        </w:rPr>
        <w:t>A dynamic displacement apparatus was used to simulate single-interval production. A steel core was packed with ESP‑T, sealed with 200-mesh screens, and placed in a core holder under 5 MPa confining pressure. The production tubing connecting the core outlet to the sampling point had a length of 1 m and an inner diameter of 1 mm (Fig. S2). For single-phase experiments, the system was saturated with dodecane at 5 mL/min, shut in for 96 h to allow tracer accumulation, then displaced at a pump setting of 0.50 mL/min. The pump setting is the independent flow-rate reference against which the fitted flow rate is compared in the self-calibration analysis (Section 4.3). Effluent was sampled at 4-min intervals (2 mL per sample, 21 samples) and analyzed by ICP‑MS to construct the BTC. For two-phase experiments, dodecane and deionized water were co-injected at three oil-water volume ratios (OWR = 4:1, 1:1, 1:4) and four total flow rates (0.1–0.4 mL/min) under continuous steady-state flow. Sampling was conducted at 5-min intervals; both the oil-water volume ratio and tracer concentration in each sample were recorded.</w:t>
      </w:r>
    </w:p>
    <w:p>
      <w:pPr>
        <w:pStyle w:val="Heading1"/>
      </w:pPr>
      <w:r>
        <w:t>3. Model Development</w:t>
      </w:r>
    </w:p>
    <w:p>
      <w:pPr>
        <w:pStyle w:val="Heading2"/>
      </w:pPr>
      <w:r>
        <w:t>3.1 Physical Basis for the Two-Component BTC</w:t>
      </w:r>
    </w:p>
    <w:p>
      <w:r>
        <w:rPr>
          <w:rFonts w:ascii="Times New Roman" w:hAnsi="Times New Roman"/>
          <w:sz w:val="24"/>
        </w:rPr>
        <w:t>The core displacement protocol imposes a tracer history that any quantitative interpretation must respect. During the 96-h shut-in that precedes flowback, tracer continuously diffuses from the epoxy matrix into the proppant pack and the near-wellbore region. When the well opens, this accumulated tracer is swept toward the sampling point as a coherent slug, producing a Gaussian-shaped concentration contribution. This is Source I: the shut-in accumulation slug. Simultaneously, the polymer matrix continues to release tracer after flow resumes: the model oil continually contacts the proppant surface, swelling progresses, and tracer diffuses through the gel layer into the flowing stream. This sustained, matrix-diffusion-controlled release constitutes Source II and produces a slowly decaying concentration tail. These two sources are physically irreducible — they are consequences of the experimental shut-in, not modeling choices. The slug exists because the shut-in prevents tracer from being swept away; the sustained tail exists because the polymer matrix does not stop releasing tracer when flow resumes. A mathematical model capable of separating these two contributions from a single BTC is required.</w:t>
      </w:r>
    </w:p>
    <w:p>
      <w:pPr>
        <w:pStyle w:val="Heading2"/>
      </w:pPr>
      <w:r>
        <w:t>3.2 Governing Equations</w:t>
      </w:r>
    </w:p>
    <w:p>
      <w:r>
        <w:rPr>
          <w:rFonts w:ascii="Times New Roman" w:hAnsi="Times New Roman"/>
          <w:sz w:val="24"/>
        </w:rPr>
        <w:t>Tracer transport through the production tubing is governed by the one-dimensional advection–dispersion equation (ADE): ∂C/∂t + v·∂C/∂x = D·∂²C/∂x², where C is the tracer concentration, v = 4Q/(πd²) is the cross-section-averaged flow velocity (Q = volumetric flow rate, d = tubing inner diameter = 1 mm), and D = α·v is the longitudinal dispersion coefficient (α = longitudinal dispersivity). For an instantaneous pulse injection of mass M at x = 0 and t = 0 with boundary condition C(±∞, t) = 0, the classical solution is C(x, t) = (M/A_cross)·(1/√(4πDt))·exp(−(x − vt)²/(4Dt)). Substituting the tube-flow relations for v and D and multiplying numerator and denominator by πd² yields the dimensionless working variable z = (xπd² − 4Qt) / √(16αQtπd²), where z = 0 marks the convective front and the denominator captures dispersion broadening that grows as √t. The geometry is fixed by the experiment: x = 1000 mm (tubing length, 1 m) and d = 1 mm (tubing inner diameter). Neither is fitted.</w:t>
      </w:r>
    </w:p>
    <w:p>
      <w:r>
        <w:rPr>
          <w:rFonts w:ascii="Times New Roman" w:hAnsi="Times New Roman"/>
          <w:sz w:val="24"/>
        </w:rPr>
        <w:t>The two tracer sources enter as two additive components. Source I (shut-in accumulation slug) takes the instantaneous-pulse solution of the ADE, giving the Gaussian rise component C_rise(t) = c_b + (A·d)/√(16παQt·d²) × exp(−z²), where c_b is the baseline concentration and A is the pulse amplitude coefficient, proportional to the tracer mass accumulated during shut-in. Source II (sustained matrix-diffusion-controlled release) corresponds to a continuous source at the inlet; the solution for a semi-infinite boundary condition gives the erfc fall component C_fall(t) = c_b + (a/2) × erfc(−z), where a is the tail amplitude coefficient representing the sustained-release source strength. The two components are blended through a C¹-continuous hyperbolic-tangent weight function w(t) = ½[1 + tanh((t₀ − t) / σ)], yielding the full model (Eq. 1): C(t) = c_b + w(t)·C_rise(t) + [1 − w(t)]·C_fall(t). The transition center t₀ marks the crossover from pulse-dominated to tail-dominated behavior; the transition width σ controls the sharpness (fitted ≈ 7.0 min in this study). The C¹ continuity of the tanh function is essential for gradient-based optimization, avoiding the non-differentiable kink that a hard piecewise switch would produce.</w:t>
      </w:r>
    </w:p>
    <w:p>
      <w:pPr>
        <w:pStyle w:val="Heading2"/>
      </w:pPr>
      <w:r>
        <w:t>3.3 Parameter Estimation and Model Selection</w:t>
      </w:r>
    </w:p>
    <w:p>
      <w:r>
        <w:rPr>
          <w:rFonts w:ascii="Times New Roman" w:hAnsi="Times New Roman"/>
          <w:sz w:val="24"/>
        </w:rPr>
        <w:t>Equation (1) contains seven fitted coefficients: baseline concentration c_b, pulse amplitude A, tail amplitude a, dispersivity α, flow rate Q, crossover time t₀, and transition width σ. Fixed geometric constants are x = 1000 mm (1 m tubing) and d = 1 mm. Derived transport properties are the Peclet number Pe = x/α, the mean flow velocity v = 4Q/(πd²), and the mean residence time MRT = x/v. The independent convective travel time from the pump setting is 1 PV = xπd²/(4Q_pump) = 1.57 min.</w:t>
      </w:r>
    </w:p>
    <w:p>
      <w:r>
        <w:rPr>
          <w:rFonts w:ascii="Times New Roman" w:hAnsi="Times New Roman"/>
          <w:sz w:val="24"/>
        </w:rPr>
        <w:t>The inverse problem — extracting six transport and release parameters from a single BTC with coupled release and transport components — presents a challenging optimization landscape. A two-pass estimation strategy was adopted. Pass 1 (basin location): a global search was performed over wide, physically bounded parameter ranges (Table S6) using four independent runs with different random starting points. The flow rate Q was bounded to [0.01, 5.0] mL/min, a 500-fold range spanning two orders of magnitude above the pump setting of 0.50 mL/min, with no penalty, prior, or constraint directing the search toward the pump value. Pass 2 (local refinement): from the best point identified in Pass 1, a gradient-based minimization refined the parameter estimates to the precision required for physical interpretation, typically converging within 50–200 iterations. The identical two-pass protocol was applied to all five candidate models — the dual-component tanh-blended model and four single-component alternatives (single Gaussian, single erfc, exponential decay, K‑P power law) — to ensure that differences in fit quality reflect model adequacy rather than differences in optimization effort. Full optimization details are provided in the Supplementary Material (Section S5.3).</w:t>
      </w:r>
    </w:p>
    <w:p>
      <w:pPr>
        <w:pStyle w:val="Heading1"/>
      </w:pPr>
      <w:r>
        <w:t>4. Results and Discussion</w:t>
      </w:r>
    </w:p>
    <w:p>
      <w:pPr>
        <w:pStyle w:val="Heading2"/>
      </w:pPr>
      <w:r>
        <w:t>4.1 ESP‑T Characterization and Material Prerequisites</w:t>
      </w:r>
    </w:p>
    <w:p>
      <w:r>
        <w:rPr>
          <w:rFonts w:ascii="Times New Roman" w:hAnsi="Times New Roman"/>
          <w:sz w:val="24"/>
        </w:rPr>
        <w:t>SEM micrographs confirm that ESP‑T microspheres exhibit excellent sphericity (&gt;0.9) with no inter-particle agglomeration. The surface displays uniformly distributed micron-scale protrusions corresponding to nano-Fe₃O₄@SA nanoclusters embedded within the epoxy matrix; the absence of interfacial cracks is consistent with physical adhesion mediated by stearic acid alkyl chain entanglement with the epoxy network. Elemental mapping confirms that Fe is distributed throughout the particle cross-section, consistent with bulk encapsulation rather than surface-only attachment. TGA/DSC analysis identifies the primary epoxy decomposition at 357 °C (DTG peak), far exceeding typical downhole temperatures (80–200 °C). Stearic acid modification increases the water contact angle from 72.3° (pure epoxy, weakly hydrophilic) to 104.6° (ESP‑T, hydrophobic). ESP‑T exhibits a bulk density of 0.646 g/cm³ (&lt;1.0 g/cm³, enabling self-suspension in water-based fracturing fluids), acid solubility of 3.3% (well below the 5% threshold per SY/T 5107–2016), and a crush rate of 2.9% at 52 MPa. Packed-bed filtration tests demonstrate the functional consequence of the oleophilic surface: ESP‑T reduces oil passage time by 66% relative to pure epoxy while increasing water passage time nearly tenfold, yielding a water/oil passage time ratio of 5.53. These results collectively confirm that the material prerequisites for the coupled release–transport model are satisfied: the tracer is stably encapsulated within a thermally robust matrix that selectively releases into the oil phase under non-Fickian transport conditions.</w:t>
        <w:br/>
        <w:br/>
        <w:t>[Fig. 2 placeholder — see Figure Captions]</w:t>
      </w:r>
    </w:p>
    <w:p>
      <w:pPr>
        <w:pStyle w:val="Heading2"/>
      </w:pPr>
      <w:r>
        <w:t>4.2 Temperature-Dependent Tracer Release Kinetics</w:t>
      </w:r>
    </w:p>
    <w:p>
      <w:r>
        <w:rPr>
          <w:rFonts w:ascii="Times New Roman" w:hAnsi="Times New Roman"/>
          <w:sz w:val="24"/>
        </w:rPr>
        <w:t>Tracer release from ESP‑T in dodecane was measured at 30, 60, 90, and 120 °C. Release accelerates with temperature throughout the 14-day measurement period; the rate is highest during the first 24 h and decays gradually thereafter. The K‑P model was fitted within its validated range (M_t/M_∞ &lt; 0.6; Table 2). The rate constant K increases systematically from 0.0554 (30 °C) to 0.1964 (120 °C), and all n values fall within 0.45–0.85 (R² &gt; 0.94 at every temperature), corresponding to anomalous (non-Fickian) transport co-governed by Fickian diffusion and Case-II polymer relaxation. The physical picture is one of solvent-driven swelling: dodecane permeates the cross-linked epoxy network, generating an inner glassy core and an outer gel layer; swelling expands transport channels through which the doped metal ions diffuse into the external medium. These kinetic parameters characterize the release mechanism independently of any flow configuration. In Section 4.3, the non-Fickian transport regime identified here will be corroborated by the Peclet number independently obtained from BTC analysis.</w:t>
        <w:br/>
        <w:br/>
        <w:t>[Fig. 3 placeholder — see Figure Captions]</w:t>
      </w:r>
    </w:p>
    <w:p>
      <w:pPr>
        <w:pStyle w:val="Heading2"/>
      </w:pPr>
      <w:r>
        <w:t>4.3 BTC Decomposition and Model Validation</w:t>
      </w:r>
    </w:p>
    <w:p>
      <w:r>
        <w:rPr>
          <w:rFonts w:ascii="Times New Roman" w:hAnsi="Times New Roman"/>
          <w:sz w:val="24"/>
        </w:rPr>
        <w:t>Table 3 compares the dual-component model against four single-component alternatives fitted to the same BTC dataset (21 data points) using the identical two-pass protocol. The dual-component model achieves R² = 0.9922 (RMSE = 0.0237), outperforming the single Gaussian (R² = 0.9482, ΔAICc = 15.4), single erfc (R² = 0.7159, ΔAICc = 51.2), exponential decay (R² = 0.7517, ΔAICc = 45.3), and K‑P power law (R² = −0.0193, ΔAICc = 75.0). The dual-component structure is statistically preferred, though the improvement over the single Gaussian is moderate in the present geometry because the long, narrow tubing (1 m × 1 mm) produces a BTC that is dominated (&gt;90%) by sustained release, with the convective slug contributing a small fraction of the integrated signal.</w:t>
      </w:r>
    </w:p>
    <w:p>
      <w:r>
        <w:rPr>
          <w:rFonts w:ascii="Times New Roman" w:hAnsi="Times New Roman"/>
          <w:sz w:val="24"/>
        </w:rPr>
        <w:t>The fitted parameter values are: c_b = 0.180, A = 0.10, a = 50.0, α = 1334 mm, Q = 0.52 mL/min, t₀ = 16.3 min, and σ = 7.0 min. Separating the fitted curve into its two components reveals that the erfc tail accounts for approximately 92% of the integrated tracer signal, with the Gaussian pulse contributing 8%. This decomposition reflects the physical reality of the experimental configuration: the 1 m × 1 mm production tubing has a transit time of only ~1.6 min at the pump flow rate, so the convective slug passes through the sampling point rapidly, whereas the sustained matrix release continues to supply tracer for the entire 105-min measurement period. The BTC is therefore a release-dominated signal in this geometry.</w:t>
        <w:br/>
        <w:br/>
        <w:t>[Fig. 5 placeholder — see Figure Captions]</w:t>
      </w:r>
    </w:p>
    <w:p>
      <w:r>
        <w:rPr>
          <w:rFonts w:ascii="Times New Roman" w:hAnsi="Times New Roman"/>
          <w:sz w:val="24"/>
        </w:rPr>
        <w:t>The decisive test of the model's physical validity is the recovery of the independently known pump flow rate. The fitted flow rate Q = 0.52 mL/min deviates from the pump setting of 0.50 mL/min by 3.9% (Fig. 5b). The search bounds for Q spanned 0.01–5.0 mL/min (a 500-fold range, Table S6), with no penalty, prior, or constraint directing the optimizer toward the pump value. The model was free to assign Q any value within this range that minimized residuals; it consistently converged to 0.52 ± 0.005 mL/min across four independent global searches. An incorrect model structure could have achieved comparable R² with an arbitrary Q by compensating with α and the amplitude coefficients. The fact that Q emerges at 0.52 mL/min, entirely unforced, constitutes evidence that the model structure captures the actual transport physics. Q is not a fitting artifact — it is a recovered engineering parameter.</w:t>
      </w:r>
    </w:p>
    <w:p>
      <w:r>
        <w:rPr>
          <w:rFonts w:ascii="Times New Roman" w:hAnsi="Times New Roman"/>
          <w:sz w:val="24"/>
        </w:rPr>
        <w:t>As an independent consistency check, the fitted mean residence time MRT = x/v = xπd²/(4Q) = 1.51 min agrees with the convective travel time independently computed from the pump setting and tube geometry (1 PV = 1.57 min) to within 3.8%. The two time scales are derived from different sources — the former from the fitted parameters, the latter from the independently set pump rate and known tube dimensions — and their agreement provides an internal self-consistency check that does not depend on Q alone.</w:t>
      </w:r>
    </w:p>
    <w:p>
      <w:r>
        <w:rPr>
          <w:rFonts w:ascii="Times New Roman" w:hAnsi="Times New Roman"/>
          <w:sz w:val="24"/>
        </w:rPr>
        <w:t>The Peclet number derived from the fit, Pe = x/α = 0.75, indicates that dispersion dominates over advection in this system — a signature of non-piston, dispersion-dominated displacement. This result is independently corroborated by the K‑P kinetic analysis (Section 4.2), which identifies the tracer release mechanism as anomalous (non-Fickian) transport with n = 0.45–0.85 across all four temperatures. These two findings emerge from completely separate experiments: the K‑P analysis from static batch release in glass vials (different apparatus, different data, different fitting targets — K and n), and the Pe from dynamic core-flood BTC fitting (flowing system, BTC data, six fitted transport parameters). Their convergence on the same physical picture — that tracer transport is governed by coupled diffusion and advection, with dispersion dominating — provides strong, independent evidence that both the release characterization and the transport model are physically sound.</w:t>
      </w:r>
    </w:p>
    <w:p>
      <w:pPr>
        <w:pStyle w:val="Heading2"/>
      </w:pPr>
      <w:r>
        <w:t>4.4 Time-of-Arrival Methods</w:t>
      </w:r>
    </w:p>
    <w:p>
      <w:r>
        <w:rPr>
          <w:rFonts w:ascii="Times New Roman" w:hAnsi="Times New Roman"/>
          <w:sz w:val="24"/>
        </w:rPr>
        <w:t>Simple time-of-arrival (TOA) methods illustrate why a coupled model is necessary. The peak-time method (t_peak = 15 min) yields Q = 0.13 mL/min (−74% error), the half-peak method (t_half ≈ 5 min) gives Q = 0.39 mL/min (−22%), and the first-moment method (MRT_raw = 37.1 min) gives Q = 0.053 mL/min (−89%). All three fail because they assume piston-like displacement, whereas the BTC is shaped by dispersion and sustained release rather than by advection alone. The coupled model uniquely provides both accurate flow-rate recovery and mechanistic insight through the Peclet number.</w:t>
      </w:r>
    </w:p>
    <w:p>
      <w:pPr>
        <w:pStyle w:val="Heading2"/>
      </w:pPr>
      <w:r>
        <w:t>4.5 Two-Phase Production Allocation via Tracer Flux</w:t>
      </w:r>
    </w:p>
    <w:p>
      <w:r>
        <w:rPr>
          <w:rFonts w:ascii="Times New Roman" w:hAnsi="Times New Roman"/>
          <w:sz w:val="24"/>
        </w:rPr>
        <w:t>Under steady-state two-phase flow, the tracer concentration C_oil measured at the outlet decreases with increasing total flow rate Q_total — a consequence of dilution: at higher flow rates, less time is available for tracer to accumulate in each unit volume of produced fluid. Concentration alone is therefore a poor proxy for the production rate of a given stage. We resolve this by working with the oil-phase tracer mass flux F_O = C_oil × Q_oil. At steady state, F_O equals the release rate from the ESP‑T pack and is independent of Q_total — it reflects only what the proppant releases, which is governed by the oil-wetted surface area (and hence the oil-water ratio), not by how fast fluid sweeps past it. This is confirmed experimentally: at each OWR, F_O remains approximately constant across the full range of total flow rates (0.1–0.4 mL/min). F_O increases systematically with OWR (≈0.66, 1.61, and 2.72 μg/min at OWR = 1:4, 1:1, and 4:1, respectively). Normalizing by the single-phase reference flux F_O,ref = 3.187 ± 0.15 μg/min (triplicate), the normalized flux F_O/F_O,ref tracks the independently known oil flow rate across all three OWR conditions (Pearson r = 0.97, p = 0.006, RMSD = 8.3%).</w:t>
        <w:br/>
        <w:br/>
        <w:t>[Fig. 9 placeholder — see Figure Captions]</w:t>
      </w:r>
    </w:p>
    <w:p>
      <w:pPr>
        <w:pStyle w:val="Heading1"/>
      </w:pPr>
      <w:r>
        <w:t>5. Implications for Field-Scale Deployment</w:t>
      </w:r>
    </w:p>
    <w:p>
      <w:r>
        <w:rPr>
          <w:rFonts w:ascii="Times New Roman" w:hAnsi="Times New Roman"/>
          <w:sz w:val="24"/>
        </w:rPr>
        <w:t>The coupled framework — K‑P kinetics → ADE model → tracer flux method — provides a complete pathway from wellhead concentration measurements to per-stage production allocation. For a multi-stage well, each fracture stage is assigned a distinct tracer element (e.g., Mn, Zn, Cu, Eu, Dy) doped into the ESP‑T matrix during synthesis. After a single shut-in period following fracturing, produced fluid is sampled at the wellhead and analyzed by ICP‑MS to obtain the concentration C_i of each tracer element. During flowback, the full BTC of each element is recorded; the ADE model recovers the per-stage flow rate Q_i from the BTC shape (Section 4.3). During subsequent steady production, periodic wellhead sampling yields the steady-state concentration C_i,ss. The per-stage oil flow rate is Q_i = F_O,i / C_i,ss, where F_O,i is the calibrated tracer flux. The per-stage contribution rate is then:</w:t>
        <w:br/>
        <w:br/>
        <w:t>Contribution_i = Q_i / ΣQ_j = (F_O,i / C_i) / Σ(F_O,j / C_j)</w:t>
        <w:br/>
        <w:br/>
        <w:t>The flux calibration F_O,i is obtained from laboratory single-phase reference measurements (F_O,ref) scaled by the proppant mass m_i injected into stage i and the reservoir temperature T_i, using the K‑P-derived temperature dependence r(T): F_O,i ≈ (m_i/m_ref) × (r(T_i)/r(T_ref)) × F_O,ref. The ADE model provides the Peclet number for each stage's transport regime and decomposes the BTC into its shut-in slug and sustained-release components, enabling interpretation of flowback data. The flux method handles the subsequent steady production phase, where the BTC is tail-dominated.</w:t>
      </w:r>
    </w:p>
    <w:p>
      <w:r>
        <w:rPr>
          <w:rFonts w:ascii="Times New Roman" w:hAnsi="Times New Roman"/>
          <w:sz w:val="24"/>
        </w:rPr>
        <w:t>Several limitations define the path from laboratory demonstration to field deployment. The framework has been validated on a single interval at the laboratory scale; multi-interval configurations remain untested. All experiments used dodecane as the model oil; crude oil introduces additional complexity from variable composition, viscosity, and potential interactions with the epoxy matrix. The chemical stability of the epoxy matrix in aggressive downhole environments (H₂S, CO₂, high-salinity brines, temperatures exceeding 120 °C) has not been evaluated. The flux calibration is based on three OWR levels (n = 3 independent oil-fraction points); a larger matrix would strengthen the calibration for field use. Batch-specific F_O,ref determination is advisable for each proppant production lot. Addressing these limitations through multi-interval experiments, crude oil compatibility tests, and extended environmental exposure studies defines the path to field-ready deployment.</w:t>
      </w:r>
    </w:p>
    <w:p>
      <w:pPr>
        <w:pStyle w:val="Heading1"/>
      </w:pPr>
      <w:r>
        <w:t>6. Conclusions</w:t>
      </w:r>
    </w:p>
    <w:p>
      <w:r>
        <w:rPr>
          <w:rFonts w:ascii="Times New Roman" w:hAnsi="Times New Roman"/>
          <w:sz w:val="24"/>
        </w:rPr>
        <w:t>A coupled release–transport model was developed that decomposes a tracer-proppant breakthrough curve into a Gaussian pulse (shut-in accumulation slug) and an erfc tail (sustained matrix-diffusion-controlled release), linked by a C¹-continuous hyperbolic-tangent transition. Applied to an oleophilic epoxy/Fe₃O₄ tracer proppant (ESP‑T) with production tubing of 1 m length and 1 mm inner diameter, the model recovers the independently set pump flow rate (0.50 mL/min) as 0.52 mL/min from the BTC shape alone — a deviation of 3.9% — with Q unconstrained in the objective function (search bounds 0.01–5.0 mL/min, a 500-fold range).</w:t>
      </w:r>
    </w:p>
    <w:p>
      <w:r>
        <w:rPr>
          <w:rFonts w:ascii="Times New Roman" w:hAnsi="Times New Roman"/>
          <w:sz w:val="24"/>
        </w:rPr>
        <w:t>The physical validity of the model is established through three independent checks: (i) the fitted mean residence time (1.51 min) agrees with the independently computed convective travel time (1.57 min) to within 3.8%; (ii) the Peclet number (Pe = 0.75) independently corroborates the non-Fickian transport mechanism (n = 0.45–0.85) identified from static K‑P batch release experiments — two completely separate experiments converging on the same dispersion-dominated transport picture; (iii) the dual-component structure is statistically preferred over four single-component alternatives.</w:t>
      </w:r>
    </w:p>
    <w:p>
      <w:r>
        <w:rPr>
          <w:rFonts w:ascii="Times New Roman" w:hAnsi="Times New Roman"/>
          <w:sz w:val="24"/>
        </w:rPr>
        <w:t>In the present geometry (1 m × 1 mm tubing), the erfc tail accounts for approximately 92% of the integrated tracer signal, with the Gaussian pulse contributing 8%, reflecting a release-dominated BTC in which the convective slug passes rapidly while sustained matrix diffusion supplies tracer throughout the measurement period.</w:t>
      </w:r>
    </w:p>
    <w:p>
      <w:r>
        <w:rPr>
          <w:rFonts w:ascii="Times New Roman" w:hAnsi="Times New Roman"/>
          <w:sz w:val="24"/>
        </w:rPr>
        <w:t>A tracer flux method enables production allocation under two-phase flow. The oil-phase tracer mass flux F_O = C_oil × Q_oil is invariant with total flow rate at a given oil–water ratio, eliminating the dilution artifact. The normalized flux tracks oil production rates across oil–water ratios from 4:1 to 1:4 (Pearson r = 0.97, RMSD = 8.3%).</w:t>
      </w:r>
    </w:p>
    <w:p>
      <w:r>
        <w:rPr>
          <w:rFonts w:ascii="Times New Roman" w:hAnsi="Times New Roman"/>
          <w:sz w:val="24"/>
        </w:rPr>
        <w:t>For multi-stage wells, doping each fracture stage with a distinct tracer element enables per-stage contribution rates to be obtained from wellhead ICP‑MS samples as (F_O,i/C_i) / Σ(F_O,j/C_j), where F_O,i is calibrated from laboratory reference measurements and K‑P temperature-dependent release kinetics. The framework requires no downhole tools and only a single shut-in. Multi-stage field validation with crude oil under transient conditions remains the next step toward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