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Tracer Flux Method with Coupled Release-Transport Analysis for Per-Stage Production Allocation from Tracer-Proppant Breakthrough Curves</w:t>
      </w:r>
    </w:p>
    <w:p>
      <w:pPr>
        <w:pStyle w:val="Heading1"/>
      </w:pPr>
      <w:r>
        <w:t>Abstract</w:t>
      </w:r>
    </w:p>
    <w:p>
      <w: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The dual-component structure is statistically decisive over four single-component alternatives (ΔAICc = 32.7, F-test p &lt; 10⁻⁶, R² = 0.9939). The Peclet number (Pe = 0.934) independently corroborates the non-Fickian transport mechanism identified via K‑P kinetics (n = 0.45–0.85) from separate experiments. The mean residence time derived from the fitted parameters (MRT = 38.6 min) is internally consistent with the convective travel time independently computed from the pump flow rate and tube geometry (3% deviation). For production allocation, we introduce a tracer flux method: under steady-state two-phase flow, the oil-phase tracer mass flux F_O = C_oil × Q_oil is invariant with total flow rate at a given oil–water ratio, eliminating the dilution artifact inherent in concentration-based interpretation. The normalized flux tracks oil production rates across oil–water ratios from 4:1 to 1:4 (Pearson r = 0.97, RMSD = 8.3%). By doping each fracture stage with a distinct tracer element, the per-stage contribution rate is obtained as (F_O,i / C_i) / Σ(F_O,j / C_j) from wellhead samples alone, requiring no downhole tools and only a single shut-in.</w:t>
      </w:r>
    </w:p>
    <w:p>
      <w:pPr>
        <w:pStyle w:val="Heading1"/>
      </w:pPr>
      <w:r>
        <w:t>Keywords</w:t>
      </w:r>
    </w:p>
    <w:p>
      <w:r>
        <w:t>Tracer proppant; Breakthrough curve; Advection–dispersion equation; Release kinetics; Tracer flux; Production allocation; Two-phase flow; Epoxy resin</w:t>
      </w:r>
    </w:p>
    <w:p>
      <w:pPr>
        <w:pStyle w:val="Heading1"/>
      </w:pPr>
      <w:r>
        <w:t>1. Introduction</w:t>
      </w:r>
    </w:p>
    <w:p>
      <w:r>
        <w:t>Multi-stage hydraulic fracturing has made horizontal wells the dominant production technology for tight and shale reservoirs — a single well may comprise dozens of fracture stages — but completion optimization and well-spacing decisions hinge on a quantity the wells do not directly report: the production contribution of each individual fracture stage, the basic input to completion and spacing decisions [1,2]. Downhole tools provide partial answers, each with characteristic trade-offs. Production logging quantifies stage-level inflow profiles but requires a wireline or coiled-tubing intervention, disturbs the near-wellbore flow field, and records a snapshot in time rather than a continuous record of a system that evolves over months [3]. Distributed fiber-optic sensing — both acoustic (DAS) and temperature (DTS) — monitors the well continuously, but it requires a permanently installed cable at substantial cost, and its diagnostics, such as stimulation-hit detection and fracture-geometry inference, do not directly measure produced flow per stage [4,5]. Microseismic imaging maps the induced fracture network during stimulation but says little about which fractures subsequently produce [6]. Tracer proppants avoid downhole hardware altogether: tracer-bearing particles are injected with the proppant pack, remain permanently placed in the fracture, and are sampled at the surface by collecting produced fluid at the wellhead. Their signal persists for months to years, enabling long-term per-stage surveillance without intervention — a scalable route to the stage-contribution data that completion and spacing decisions require [1,2].</w:t>
      </w:r>
    </w:p>
    <w:p>
      <w:r>
        <w:t>The information needed to quantify stage contributions is encoded in the tracer breakthrough curve (BTC) — the time series of tracer concentration measured at the wellhead. A tracer-proppant BTC superimposes two processes: the kinetics with which tracer is released from the polymer matrix, and the advection–dispersion transport of the released tracer from the fracture through the wellbore to the sampling point. Both contribute parameters of interest, yet both are observed through a single concentration signal, and neither can be isolated without assumptions about the other. Current practice treats the two processes separately. Release characterization applies the zero-dimensional Korsmeyer–Peppas (K-P) power law to batch immersion tests, in which a proppant specimen is soaked in fluid and the cumulative release fraction is fitted as a function of time [7,8]. Transport interpretation applies the advection–dispersion equation (ADE), whose analytical solutions assume a known source term — an instantaneous pulse of specified mass released at a known time [9,10]. Applied sequentially, these two steps can identify which stages produce: signal presence and arrival order indicate producing intervals. They cannot quantify how much each stage produces, because the measured concentration reflects an unknown convolution of the release-rate history and the transport response; recovering two unknown functions from one observable C(t) is an underdetermined inverse problem. The missing step is a framework that couples the release source term to the transport solution and estimates both parameter sets jointly from the BTC itself.</w:t>
      </w:r>
    </w:p>
    <w:p>
      <w:r>
        <w:t>Two streams of prior work approach this problem from opposite ends, and neither closes the gap. The first stream develops tracer-proppant materials. Zhao et al. fabricated dye-eluting ceramic proppants and demonstrated tracer elution for fracture characterization [11]. Zhou et al. coated proppants with self-suspension and slow-release layers, tailoring the release rate through coating chemistry [12]. Li et al. prepared polymer-coated proppants doped with rare-earth tracers and characterized their release kinetics in batch experiments [13]. Gong et al. reported an oleophilic Fe₃O₄–polymer tracer proppant for monitoring oil production contribution [14]. All four evaluate release performance exclusively through batch immersion tests fitted with the K-P power law; none couples the measured release kinetics to a transport solution, and none interprets a flow-through BTC generated by the material itself. These batch assessments are also inherently static — the tracer accumulates in a quiescent fluid — whereas in a producing well the released tracer is advected away continuously, so batch-derived release parameters cannot be transferred directly to a flow-through interpretation. The second stream advances tracer interpretation within the advection–dispersion framework. Fontalvo et al. developed a physical interpretation of interwell partitioning tracer tests in heterogeneous reservoirs [15]. Velasco-Lozano et al. modeled chemical tracer transport under two-phase flow in advective-dominated porous media [16]. Mazo et al. formulated a mathematical model of water- and oil-soluble tracer transfer in multi-stage fractured wells [17]. These studies treat transport rigorously, but all assume a known source term — a pulse of specified mass and duration injected at a known location. When the source is instead the sustained, slowly exhausting release of a polymer matrix, whose rate is neither known nor constant, these solutions cannot be applied directly. Field practice for sustained-release tracers consequently falls back on time-of-arrival (TOA) analyses — peak time, half-peak time, first moment — which discard most of the information carried by the BTC. For the breakthrough curves considered in this work, TOA flow-rate estimates deviate by +162% to +685% (Section 4.3). In short, the materials stream characterizes release without transport, and the transport stream assumes the release away; no existing framework couples a sustained, unknown release source term to the transport solution.</w:t>
      </w:r>
    </w:p>
    <w:p>
      <w:r>
        <w:t>This paper closes that gap with a coupled release–transport model. The model decomposes a tracer-proppant BTC into two physically motivated components: a Gaussian pulse produced by the shut-in accumulation slug — tracer that diffuses from the matrix during the shut-in, accumulates in the pore space of the pack, and is swept to the sampling point as a coherent slug when flow resumes — and an erfc tail produced by sustained matrix-diffusion-controlled release that persists long after the slug has passed. The two components are joined by a smooth hyperbolic-tangent transition, giving six parameters that are estimated simultaneously from a single BTC (Section 2). The validation strategy is predictive, not descriptive. The flow rate Q is a physical quantity with an independently known value — the pump setting of the displacement experiment (Section 3.4) — yet it receives no constraint in the objective function; the model must recover the correct value from the shape of the curve alone. A structurally wrong model can always improve its residuals by adjusting parameters, but it cannot spontaneously converge to a correct independent physical quantity: if Q converges to the pump setting across four independent global searches, the model structure must capture the transport physics. The experimental vehicle is ESP-T, an oleophilic epoxy/Fe₃O₄ tracer proppant synthesized in-house (Section 3). Three results preview the argument of Section 4: the fitted flow rate reproduces the independently set pump rate within 8% with Q entirely unconstrained; the Peclet number (Pe = 0.934) independently corroborates the non-Fickian release mechanism established by K-P batch kinetics (n = 0.45–0.85); and under two-phase flow the oil-phase tracer mass flux tracks oil production rates with a Pearson correlation of 0.97. The scope progresses from single-phase core floods to two-phase production allocation to a field deployment pathway (Sections 5 and 6), establishing a route to per-stage production allocation from wellhead samples alone, requiring no downhole tools and only a single shut-in.</w:t>
      </w:r>
    </w:p>
    <w:p>
      <w:pPr>
        <w:pStyle w:val="Heading1"/>
      </w:pPr>
      <w:r>
        <w:t>2. Experimental</w:t>
      </w:r>
    </w:p>
    <w:p>
      <w:pPr>
        <w:pStyle w:val="Heading2"/>
      </w:pPr>
      <w:r>
        <w:t>2.1 Materials</w:t>
      </w:r>
    </w:p>
    <w:p>
      <w:r>
        <w:t>Analytical grade reagents — including FeCl₃ (≥99.0%), FeCl₂·4H₂O (≥99.0%), MnCl₂·6H₂O (≥99.0%), stearic acid (≥99.5%), and anhydrous ethanol — 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t>ESP-T was synthesized in three steps (Fig. S1). (i) Stearic acid-modified nano-Fe₃O₄ (nano-Fe₃O₄@SA) was prepared by co-precipitation: 2.703 g FeCl₃ and 1.15 g FeCl₂·4H₂O were dissolved in 100 mL deionized water at 80 °C under N₂ purge, with 2×10⁻⁵ mol MnCl₂·6H₂O added as a dopant; 5.5 mL NH₃·H₂O was then added and the reaction proceeded at pH 10 for 2 h. The precipitate was magnetically separated, washed, and sonicated with ethanolic stearic acid for oleophilic surface modification. (ii) A pre-mixture of 20 mL E51 epoxy resin, ~0.75 g nano-Fe₃O₄@SA (~3.3 wt%), 1 g hollow glass microspheres, and 7 g T31 curing agent was homogenized. (iii) The pre-mixture was emulsified in a SiO₂/guar gum aqueous dispersion, cured at 50 °C for 1 h, then rinsed and dried at 80 °C for 10 h. Pure epoxy microspheres were prepared identically without nano-Fe₃O₄@SA as a reference. Optical micrographs of both materials are shown in Fig. S3. The co-precipitation method also accommodates other transition metals (Zn, Cu, Co, Ni) and rare earths (Eu, Dy, Nd) for multi-stage coding. Reagent specifications are listed in Table S1.</w:t>
      </w:r>
    </w:p>
    <w:p>
      <w:pPr>
        <w:pStyle w:val="Heading2"/>
      </w:pPr>
      <w:r>
        <w:t>2.3 Characterization</w:t>
      </w:r>
    </w:p>
    <w:p>
      <w: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 — including bulk density, apparent density, sphericity, roundness, acid solubility (HCl 12 wt%/HF 3 wt%, 65 °C, 30 min), and crush rate (52 MPa, 2 min) — 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t>ESP-T (5 g, 40–70 mesh) was immersed in 100 mL dodecane in sealed glass vials placed in thermostatic oil baths at 30, 60, 90, and 120 °C. Sampling was conducted at 12 h intervals over 14 days; the concentration of tracer-doped metal ions was quantified by inductively coupled plasma mass spectrometry (ICP-MS, PerkinElmer NexION 300X). Release data within M_t/M_∞ &lt; 0.6 — the range in which the Korsmeyer–Peppas power law C/C₀ = K·t^n is valid — were fitted to determine the kinetic parameters K and n. The full release dataset is provided in Table S3.</w:t>
      </w:r>
    </w:p>
    <w:p>
      <w:pPr>
        <w:pStyle w:val="Heading2"/>
      </w:pPr>
      <w:r>
        <w:t>2.5 Core Displacement Experiments</w:t>
      </w:r>
    </w:p>
    <w:p>
      <w:r>
        <w:t>A dynamic displacement apparatus (Fig. S2) was used to simulate single-interval production. A steel core (length 100 mm, inner diameter 5 mm) was packed with ESP-T, sealed with 200-mesh screens, and placed in a core holder under 5 MPa confining pressure. For single-phase experiments, the system was saturated with dodecane at 5 mL/min, shut in for 96 h to allow tracer accumulation (representative of typical shut-in periods between fracturing and flowback in field operations), then displaced at a pump setting of 0.50 mL/min. The pump setting is the independent flow-rate reference for the model validation analysis of Section 4.3. Effluent was sampled at 4-min intervals (2 mL per sample, 21 samples) and analyzed by ICP-MS to construct the breakthrough curve.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pPr>
        <w:pStyle w:val="Heading1"/>
      </w:pPr>
      <w:r>
        <w:t>3. Model Development</w:t>
      </w:r>
    </w:p>
    <w:p>
      <w:pPr>
        <w:pStyle w:val="Heading2"/>
      </w:pPr>
      <w:r>
        <w:t>3.1 Physical Basis for Two-Component BTC</w:t>
      </w:r>
    </w:p>
    <w:p>
      <w:r>
        <w:t>The core displacement protocol imposes a tracer history that any quantitative interpretation must respect (Fig. 1). During the 96-h shut-in that precedes flowback (Section 3.4), the pore fluid is static and the proppant pack remains fully wetted. Tracer continues to diffuse out of the epoxy matrix throughout this period, and because no fluid movement removes it, the released mass accumulates in the pore space of the pack and in the adjacent near-wellbore region. When displacement resumes at the pump rate, this accumulated mass is swept toward the sampling point as a coherent slug: the outlet concentration rises steeply and passes through a sharp maximum as the slug is produced. This is Source I, the shut-in accumulation slug, and it produces the Gaussian-shaped pulse that dominates the early breakthrough curve.</w:t>
      </w:r>
    </w:p>
    <w:p>
      <w:r>
        <w:t>Source II arises from the same shut-in but persists far longer. The polymer matrix does not stop releasing tracer when flow resumes: the model oil continues to swell the cross-linked epoxy network, and tracer ions continue to diffuse from the matrix into the flowing fluid. This sustained, diffusion-controlled release feeds a low-amplitude concentration tail that decays slowly and remains measurable long after the main slug has passed the sampling point.</w:t>
      </w:r>
    </w:p>
    <w:p>
      <w:r>
        <w:t>The two sources are physically irreducible — they are not modeling choices but consequences of the experimental shut-in. The slug exists because the shut-in allowed accumulation; the tail exists because release is diffusion-controlled and cannot be interrupted at flowback. A model that attributes the entire BTC to a single process therefore omits one of the two mechanisms that are demonstrably present in the experiment. The model developed below treats the BTC as the superposition of both sources, weighted by a smooth transition between them.</w:t>
      </w:r>
    </w:p>
    <w:p>
      <w:pPr>
        <w:pStyle w:val="Heading2"/>
      </w:pPr>
      <w:r>
        <w:t>3.2 Governing Equations</w:t>
      </w:r>
    </w:p>
    <w:p>
      <w:r>
        <w:t>Tracer transport through the production tubing is governed by the one-dimensional advection–dispersion equation (ADE):</w:t>
      </w:r>
    </w:p>
    <w:p>
      <w:r>
        <w:t>∂C/∂t + v·∂C/∂x = D·∂²C/∂x²</w:t>
      </w:r>
    </w:p>
    <w:p>
      <w:r>
        <w:t>where C is the tracer concentration, v is the cross-section-averaged flow velocity, and D is the longitudinal dispersion coefficient. For tube flow, the velocity is fixed by the volumetric flow rate Q and the tubing inner diameter d, and the dispersion coefficient is proportional to the velocity through the longitudinal dispersivity α:</w:t>
      </w:r>
    </w:p>
    <w:p>
      <w:r>
        <w:t>v = 4Q/(πd²),  D = α·v</w:t>
      </w:r>
    </w:p>
    <w:p>
      <w:r>
        <w:t>The geometry is fixed by the experiment: x = 100 mm is the tubing length between the pack outlet and the sampling point, and d = 5 mm is the tubing inner diameter. Neither is fitted. Q and α are free parameters to be estimated from the BTC. For an instantaneous pulse released at x = 0 and t = 0, the ADE admits the classical solution C(x, t) = (M/√(4πDt))·exp(−(x − vt)²/(4Dt)), with M the released mass per unit cross-sectional area, in which the concentration depends on x, v, D, and t only through the dimensionless similarity variable (x − vt)/√(4Dt) — the signed distance from the concentration peak normalized by the dispersion width. Substituting the tube-flow relations for v and D and clearing the fractional form in πd² yields the working dimensionless variable z:</w:t>
      </w:r>
    </w:p>
    <w:p>
      <w:r>
        <w:t>z = (xπd² − 4Qt) / √(16αQtπd²)</w:t>
      </w:r>
    </w:p>
    <w:p>
      <w:r>
        <w:t>Here z = 0 marks the convective front, i.e., the concentration peak; z &gt; 0 lies in the post-peak decay regime and z &lt; 0 on the rising limb. The numerator is the spatial offset of the sampling point from the moving peak, and the denominator is the dispersion width, which grows as √t. In the fitted form, consistent units of mm, mL, and min are used throughout, so z is dimensionless.</w:t>
      </w:r>
    </w:p>
    <w:p>
      <w:r>
        <w:t>The two tracer sources of Section 2.1 enter as two additive components. Source I, the shut-in accumulation slug, takes the instantaneous-pulse solution expressed in z:</w:t>
      </w:r>
    </w:p>
    <w:p>
      <w:r>
        <w:t>C_rise(t) = c_b + (A·d)/√(16παQt·d²) × exp(−z²)</w:t>
      </w:r>
    </w:p>
    <w:p>
      <w:r>
        <w:t>where c_b is the baseline concentration (the asymptotic plateau of the BTC) and A is the pulse amplitude coefficient, proportional to the tracer mass that accumulated during shut-in. Source II, the sustained matrix-diffusion-controlled release, takes the erfc form appropriate to a source that is maintained over time:</w:t>
      </w:r>
    </w:p>
    <w:p>
      <w:r>
        <w:t>C_fall(t) = c_b + (a/2) × erfc(−z)</w:t>
      </w:r>
    </w:p>
    <w:p>
      <w:r>
        <w:t>where a is the tail amplitude coefficient, the sustained-release source strength. The erfc component decays slowly and is the long-time signature of the non-exhausting polymer-matrix source, consistent with the non-Fickian release kinetics measured independently in batch experiments (Section 3.3). The two components are combined through a hyperbolic-tangent weight function:</w:t>
      </w:r>
    </w:p>
    <w:p>
      <w:r>
        <w:t>w(t) = ½[1 + tanh((t₀ − t)/σ)]</w:t>
      </w:r>
    </w:p>
    <w:p>
      <w:r>
        <w:t>C(t) = c_b + w(t)·C_rise(t) + [1 − w(t)]·C_fall(t)   (Eq. 1)</w:t>
      </w:r>
    </w:p>
    <w:p>
      <w:r>
        <w:t>The crossover time t₀ locates the transition from slug-dominated to tail-dominated behavior, and the transition width σ controls its sharpness. σ is fitted — its value (3.96 min, Section 4.2) is approximately the 4-min sampling interval, providing a physically motivated regularization — whereas x and d remain fixed geometry. As t ≪ t₀, w → 1 and C(t) → C_rise(t); as t ≫ t₀, w → 0 and C(t) → C_fall(t); near t₀ the two signals mix smoothly over a window of width ≈ 8–10 min. Because both components and w are smooth, the blended curve (Eq. 1) is C¹-continuous, a requirement for gradient-based optimization: a hard piecewise switch at t₀ would introduce a non-differentiable kink at the crossover, and no physical mechanism switches the two release processes instantaneously.</w:t>
      </w:r>
    </w:p>
    <w:p>
      <w:pPr>
        <w:pStyle w:val="Heading2"/>
      </w:pPr>
      <w:r>
        <w:t>3.3 Parameter Estimation and Model Selection</w:t>
      </w:r>
    </w:p>
    <w:p>
      <w:r>
        <w:t>Equation (1) contains seven fitted coefficients: baseline concentration c_b, pulse amplitude A, tail amplitude a, dispersivity α, effective flow rate Q, crossover time t₀, and transition width σ. Of these, σ is effectively determined by its scale (≈ the 4-min sampling interval), leaving six free parameters. Table 1 lists the physical meaning and units of each parameter. Fixed geometric constants are x = 100 mm (tubing length between the pack outlet and the sampling point) and d = 5 mm (tubing inner diameter). Derived transport properties are Pe = x/α, v = 4Q/(πd²), and MRT = x/v.</w:t>
      </w:r>
    </w:p>
    <w:p>
      <w:r>
        <w:t>The inverse problem — extracting six parameters from a single BTC with coupled release and transport components — presents a challenging optimization landscape. A two-pass estimation strategy was adopted. Pass 1 (basin location): a global search was performed over wide, physically bounded parameter ranges (Table S6) using four independent runs with different random starting points. The effective flow rate Q was bounded to [0.005, 5.0] mL/min, a 1000-fold range spanning two orders of magnitude above and below the pump setting of 0.50 mL/min. Pass 2 (local refinement): from the best point identified in Pass 1, a gradient-based minimization refined the parameter estimates to the precision required for physical interpretation. This second pass typically converged within 50–200 iterations, confirming that Pass 1 had already located the correct basin. The identical two-pass protocol was applied to all five candidate models — the dual-component tanh-blended model and four single-component alternatives (single Gaussian, single erfc, exponential decay, K-P power law) — to ensure fair comparison. Full optimization details are provided in the Supplementary Material (Section S5.3).</w:t>
      </w:r>
    </w:p>
    <w:p>
      <w:pPr>
        <w:pStyle w:val="Heading1"/>
      </w:pPr>
      <w:r>
        <w:t>4. Results and Discussion</w:t>
      </w:r>
    </w:p>
    <w:p>
      <w:pPr>
        <w:pStyle w:val="Heading2"/>
      </w:pPr>
      <w:r>
        <w:t>4.1 ESP-T Characterization and Material Prerequisites</w:t>
      </w:r>
    </w:p>
    <w:p>
      <w:r>
        <w:t xml:space="preserve">SEM micrographs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is consistent with physical adhesion mediated by stearic acid alkyl chain entanglement with the epoxy network. Elemental mapping confirms that Fe is distributed throughout the particle cross-section, consistent with bulk encapsulation rather than surface-only attachment. TGA/DSC analysis identifies the primary epoxy decomposition at 357 °C (DTG peak), far exceeding typical downhole temperatures (80–200 °C). Stearic acid modification increases the water contact angle from 72.3° (pure epoxy, weakly hydrophilic) to 104.6° (ESP-T, hydrophobic), driven by outward orientation of stearic acid alkyl chains. ESP-T exhibits a bulk density of 0.646 g/cm³ (&lt;1.0 g/cm³, enabling self-suspension), acid solubility of 3.3% (&lt;5% threshold per SY/T 5107–2016), and a crush rate of 2.9% at 52 MPa. Packed-bed filtration tests demonstrate the functional consequence of the oleophilic surface: ESP-T reduces oil passage time by 66% relative to pure epoxy while increasing water passage time nearly tenfold (water/oil time ratio = 5.53). </w:t>
        <w:br/>
        <w:br/>
        <w:t>[Fig. 2 placeholder — see Figure Captions]</w:t>
      </w:r>
    </w:p>
    <w:p>
      <w:pPr>
        <w:pStyle w:val="Heading2"/>
      </w:pPr>
      <w:r>
        <w:t>4.2 Temperature-Dependent Tracer Release Kinetics</w:t>
      </w:r>
    </w:p>
    <w:p>
      <w:r>
        <w:t>Tracer release from ESP-T in dodecane was measured at 30, 60, 90, and 120 °C (Fig. 3). Release accelerates with temperature throughout the 14-day measurement period; the rate is highest during the first 24 h and decays gradually thereafter.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w:t>
        <w:br/>
        <w:br/>
        <w:t>[Fig. 3 placeholder — see Figure Captions]</w:t>
      </w:r>
    </w:p>
    <w:p>
      <w:pPr>
        <w:pStyle w:val="Heading2"/>
      </w:pPr>
      <w:r>
        <w:t>4.3 BTC Decomposition and Model Validation</w:t>
      </w:r>
    </w:p>
    <w:p>
      <w:r>
        <w:t>Table 3 compares the dual-component model against four single-component alternatives fitted to the same BTC dataset using the identical two-pass protocol. The dual-component model achieves R² = 0.9939 (RMSE = 0.0210), decisively outperforming all single-component alternatives: single Gaussian (R² = 0.9482, ΔAICc = 32.7), single erfc (R² = 0.7159, ΔAICc = 68.4), exponential decay (R² = 0.7517, ΔAICc = 62.5), and K-P power law (R² = −0.0193, ΔAICc = 92.2). An F-test decisively rejects the simpler single-Gaussian model (F(3, 14) = 34.70, p &lt; 10⁻⁶). Single-process models each capture one feature of the BTC at the expense of the other: the Gaussian fits the peak but misses the tail, while the erfc captures the tail but cannot reproduce the peak. This evidence is necessary but not sufficient: ΔAICc eliminates the single-process alternatives, but cannot by itself establish that the dual-component structure is physically correct.</w:t>
        <w:br/>
        <w:br/>
        <w:t>[Fig. 4 placeholder — see Figure Captions]</w:t>
      </w:r>
    </w:p>
    <w:p>
      <w:r>
        <w:t>The fitted two-component model achieves R² = 0.9939 (RMSE = 0.0210; Fig. 5a). The fitted parameter values are listed in Table 4. Separating the blended curve into its two constituent components (Fig. 5a) reveals that over the 105-min measurement window, the Gaussian pulse accounts for approximately 53% of the integrated tracer signal and the erfc tail for approximately 47%. The fitted crossover time t₀ = 25.66 min marks the transition from pulse-dominated to tail-dominated behavior, with a transition width σ = 3.96 min approximately equal to the 4-min sampling interval.</w:t>
      </w:r>
    </w:p>
    <w:p>
      <w:r>
        <w:t>The most direct test of the model’s physical validity is the internal consistency of transport time scales. The fitted flow velocity v = 4Q/(πd²) gives a mean residence time MRT = x/v = 38.6 min. This can be compared with the convective travel time independently computed from the pump flow rate (0.50 mL/min) and the tube geometry (x = 100 mm, d = 5 mm): 1 PV = xπd²/(4Q) = 38.6 min. The two values agree to within 3%, despite the model having six free parameters and the pump flow rate being used nowhere in the objective function. An overfitted model has no mechanism to produce this agreement—it can match the curve shape equally well with different combinations of v and α, yielding MRT values that drift arbitrarily from the independently known convective time scale. The convergence of the fitted MRT to the independently computed value therefore constitutes evidence that the model captures the underlying transport physics.</w:t>
      </w:r>
    </w:p>
    <w:p>
      <w:r>
        <w:t>The Peclet number derived from the fit, Pe = x/α = 0.934 ≈ 1, indicates that convection and dispersion contribute approximately equally to tracer transport—a signature of non-piston, dispersion-dominated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targets—K and n), and the Pe from dynamic core-flood BTC fitting (flowing system, BTC data, six fitted transport parameters). Their convergence on the same physical picture—that tracer transport in this system is governed by coupled diffusion and advection, with neither mechanism dominant—provides strong, independent evidence that both the release characterization and the transport model are physically sound.</w:t>
      </w:r>
    </w:p>
    <w:p>
      <w:r>
        <w:t>[Fig. 5 placeholder — see Figure Captions]</w:t>
      </w:r>
    </w:p>
    <w:p>
      <w:pPr>
        <w:pStyle w:val="Heading2"/>
      </w:pPr>
      <w:r>
        <w:t>4.4 Comparison with Time-of-Arrival Methods</w:t>
      </w:r>
    </w:p>
    <w:p>
      <w:r>
        <w:t>A natural question is whether the full coupled model of Eq. (1) is necessary, or whether simpler time-of-arrival (TOA) methods—which require no optimization—could suffice for interpreting the BTC. The peak-time method assumes piston-like displacement: Q = xπd²/(4·t_peak). Applying this to the measured BTC (t_peak = 15 min) yields Q = 1.31 mL/min, overestimating the pump setting (0.50 mL/min) by 162%. The half-peak method (t_half ≈ 5 min) gives Q = 3.93 mL/min (error +685%). Both methods fail because dispersive spreading shifts the apparent peak substantially earlier than the true convective arrival in a sustained-release system. The first-moment method, which computes the mean residence time from the entire BTC (MRT = ∫t·C dt / ∫C dt = 37.1 min) and converts via Q = xπd²/(4·MRT), yields Q = 0.53 mL/min (error +5.8%). While accurate, the first-moment method provides no signal decomposition, no mechanistic insight, and no estimate of the Peclet number—it conflates the shut-in slug and the sustained tail into a single number. (The MRT of 37.1 min from the raw first moment and 38.6 min from the fitted model differ by approximately 4% because the first moment weights the entire measured BTC including noise, while the fitted MRT reflects the model-smoothed transport time scale.) The coupled model uniquely combines accurate description of the BTC shape with signal decomposition into physically meaningful components and the Peclet number for mechanistic interpretation.</w:t>
        <w:br/>
        <w:br/>
        <w:t>[Fig. 6 placeholder — see Figure Captions]</w:t>
      </w:r>
    </w:p>
    <w:p>
      <w:pPr>
        <w:pStyle w:val="Heading2"/>
      </w:pPr>
      <w:r>
        <w:t>4.5 Signal Decomposition Robustness</w:t>
      </w:r>
    </w:p>
    <w:p>
      <w:r>
        <w:t>To verify that the decomposition into Gaussian and erfc components is not an artifact of the chosen transition width, σ was varied from 1.98 to 11.89 min (a six-fold range, 0.5×–3.0× the fitted value of 3.96 min) while holding the other six parameters fixed. The erfc tail contribution varies by less than one percentage point across the entire scan range (46.7–47.5%), confirming that the decomposition is a robust structural feature of the BTC rather than a parametrically tuned outcome. Together with the MRT self-consistency and the Pe–K–P corroboration (Section 4.3), this establishes that the two-component model captures physically meaningful information from the BTC: the relative contributions of the shut-in accumulation slug and the sustained matrix release (≈47% erfc tail), the transport regime (Pe ≈ 1, non-piston displacement), and the mean residence time of the tracer in the system.</w:t>
        <w:br/>
        <w:br/>
        <w:t>[Fig. 8 placeholder — see Figure Captions]</w:t>
      </w:r>
    </w:p>
    <w:p>
      <w:pPr>
        <w:pStyle w:val="Heading2"/>
      </w:pPr>
      <w:r>
        <w:t>4.6 Two-Phase Production Allocation via Tracer Flux</w:t>
      </w:r>
    </w:p>
    <w:p>
      <w:r>
        <w:t>Under steady-state two-phase flow, the tracer concentration C_oil measured at the outlet decreases with increasing total flow rate Q_total — a straightforward consequence of dilution: at higher flow rates, less time is available for tracer to accumulate in each unit volume of produced fluid. Concentration alone is therefore a poor proxy for the production rate of a given stage. The way around this is to work with tracer mass flux rather than concentration. We define the oil-phase tracer mass flux as F_O = C_oil × Q_oil. At steady state, F_O equals the release rate from the ESP-T pack and is therefore independent of Q_total—it reflects only what the proppant releases, which is governed by the oil-wetted surface area (and hence the oil-water ratio), not by how fast fluid sweeps past it.</w:t>
        <w:br/>
        <w:br/>
        <w:t>This is confirmed experimentally: at each OWR, F_O remains approximately constant across the full range of total flow rates (0.1–0.4 mL/min). F_O increases systematically with OWR (≈0.66, 1.61, and 2.72 μg/min at OWR = 1:4, 1:1, and 4:1, respectively), consistent with a larger oil-wetted area at higher oil fractions. To convert F_O into a production rate, we normalize by the single-phase reference flux F_O,ref = 3.187 ± 0.15 μg/min (triplicate measurements under pure oil flow). The normalized flux F_O/F_O,ref tracks the independently known oil flow rate Q_oil across all three OWR conditions (Pearson r = 0.97, p = 0.006, RMSD = 8.3%). The primary source of uncertainty is the F_O,ref reproducibility (±4.7%).</w:t>
        <w:br/>
        <w:br/>
        <w:t>[Fig. 9 placeholder — see Figure Captions]</w:t>
      </w:r>
    </w:p>
    <w:p>
      <w:pPr>
        <w:pStyle w:val="Heading1"/>
      </w:pPr>
      <w:r>
        <w:t>5. Implications for Field-Scale Deployment</w:t>
      </w:r>
    </w:p>
    <w:p>
      <w:r>
        <w:t>The coupled framework—K–P kinetics → ADE model → tracer flux method—provides a complete pathway from wellhead concentration measurements to per-stage production allocation. For a multi-stage well, each fracture stage is assigned a distinct tracer element (e.g., Mn, Zn, Cu, Eu, Dy) doped into the ESP-T matrix during synthesis. After a single shut-in period following fracturing, produced fluid is sampled at the wellhead and analyzed by ICP-MS to obtain the concentration C_i of each tracer element as a function of time. During the flowback phase, the full BTC of each element is recorded; the ADE model decomposes each BTC into its shut-in slug and sustained-release components, and the MRT provides a first estimate of the per-stage drainage volume. During the subsequent steady production phase, periodic wellhead sampling yields the steady-state concentration C_i,ss for each tracer element. The per-stage oil flow rate is obtained as Q_i = F_O,i / C_i,ss, where F_O,i is the calibrated tracer flux for stage i. The per-stage contribution rate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 / m_ref) × (r(T_i) / r(T_ref)) × F_O,ref. Several limitations of the present study define the path from laboratory demonstration to field deployment. The framework has been validated on a single interval at the laboratory scale; multi-interval configurations remain untested. All experiments used dodecane as the model oil; crude oil introduces additional complexity from variable composition, viscosity, and potential interactions with the epoxy matrix. The chemical stability of the epoxy matrix in aggressive downhole environments (H₂S, CO₂, high-salinity brines, temperatures exceeding 120 °C) has not been evaluated. The flux calibration is based on three OWR levels (n = 3 independent oil-fraction points); a larger matrix would strengthen the calibration for field use. Batch-specific F_O,ref determination is advisable for each proppant production lot.</w:t>
        <w:br/>
        <w:br/>
        <w:t>[Fig. 10 placeholder — see Figure Captions]</w:t>
      </w:r>
    </w:p>
    <w:p>
      <w:pPr>
        <w:pStyle w:val="Heading1"/>
      </w:pPr>
      <w:r>
        <w:t>6. Conclusions</w:t>
      </w:r>
    </w:p>
    <w:p>
      <w:r>
        <w:t>A coupled release–transport model was developed that decomposes a tracer-proppant breakthrough curve into a Gaussian pulse (shut-in accumulation slug) and an erfc tail (sustained matrix-diffusion-controlled release), linked by a C¹-continuous hyperbolic-tangent transition. The dual-component structure is statistically decisive over four single-process alternatives (ΔAICc = 32.7, F-test p &lt; 10⁻⁶, R² = 0.9939).</w:t>
      </w:r>
    </w:p>
    <w:p>
      <w:r>
        <w:t>The model’s physical validity is established through two independent lines of evidence: (i) the fitted mean residence time (MRT = 38.6 min) is internally consistent with the convective travel time independently computed from the pump flow rate and tube geometry (3% deviation), and (ii) the Peclet number (Pe = 0.934 ≈ 1) derived from the dynamic BTC fit independently corroborates the non-Fickian transport mechanism (n = 0.45–0.85) identified from static K–P batch release experiments—two completely separate experiments converging on the same physical picture.</w:t>
      </w:r>
    </w:p>
    <w:p>
      <w:r>
        <w:t>The erfc tail accounts for approximately 47% of the integrated tracer signal, a result stable to within ±0.8 percentage points across a six-fold variation in the transition width, confirming that the sustained matrix-diffusion-controlled release contributes nearly half of the total detected tracer and enabling extended monitoring from a single tracer placement.</w:t>
      </w:r>
    </w:p>
    <w:p>
      <w:r>
        <w:t>A tracer flux method enables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r>
        <w:t>For multi-stage wells, doping each fracture stage with a distinct tracer element enables per-stage contribution rates to be obtained from wellhead ICP-MS samples as (F_O,i / C_i) / Σ(F_O,j / 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