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
      <w:r>
        <w:rPr>
          <w:i/>
        </w:rPr>
        <w:t>[Fig. 5 placeholder — see Figure Captions] — CENTERPIECE — BTC decomposition + Q self-calibration bar</w:t>
      </w:r>
    </w:p>
    <w:p>
      <w:pPr>
        <w:pStyle w:val="Heading2"/>
      </w:pPr>
      <w:r>
        <w:t>4.3 Comparison with Time-of-Arrival Methods</w:t>
      </w:r>
    </w:p>
    <w:p/>
    <w:p>
      <w:r>
        <w:rPr>
          <w:i/>
        </w:rPr>
        <w:t>[Fig. 6 placeholder — see Figure Captions] — TOA method comparison</w:t>
      </w:r>
    </w:p>
    <w:p>
      <w:pPr>
        <w:pStyle w:val="Heading2"/>
      </w:pPr>
      <w:r>
        <w:t>4.4 Independent Corroboration: K-P Kinetics and ADE Peclet Number</w:t>
      </w:r>
    </w:p>
    <w:p/>
    <w:p>
      <w:r>
        <w:rPr>
          <w:i/>
        </w:rPr>
        <w:t>[Fig. 7 placeholder — see Figure Captions] — K-P ↔ Pe independent corroboration dual panel</w:t>
      </w:r>
    </w:p>
    <w:p>
      <w:pPr>
        <w:pStyle w:val="Heading2"/>
      </w:pPr>
      <w:r>
        <w:t>4.5 Signal Decomposition and Robustness</w:t>
      </w:r>
    </w:p>
    <w:p/>
    <w:p>
      <w:r>
        <w:rPr>
          <w:i/>
        </w:rPr>
        <w:t>[Fig. 8 placeholder — see Figure Captions] — σ sensitivity analysis</w:t>
      </w:r>
    </w:p>
    <w:p>
      <w:pPr>
        <w:pStyle w:val="Heading1"/>
      </w:pPr>
      <w:r>
        <w:t>5. Extension to Two-Phase Production Allocation</w:t>
      </w:r>
    </w:p>
    <w:p/>
    <w:p>
      <w:pPr>
        <w:pStyle w:val="Heading2"/>
      </w:pPr>
      <w:r>
        <w:t>5.1 Physical Context</w:t>
      </w:r>
    </w:p>
    <w:p/>
    <w:p>
      <w:pPr>
        <w:pStyle w:val="Heading2"/>
      </w:pPr>
      <w:r>
        <w:t>5.2 The Dilution Problem and the Flux Solution</w:t>
      </w:r>
    </w:p>
    <w:p/>
    <w:p>
      <w:r>
        <w:rPr>
          <w:i/>
        </w:rPr>
        <w:t>[Fig. 9 placeholder — see Figure Captions] — Two-phase flow 3-panel</w:t>
      </w:r>
    </w:p>
    <w:p>
      <w:pPr>
        <w:pStyle w:val="Heading2"/>
      </w:pPr>
      <w:r>
        <w:t>5.3 Flux-to-Production-Rate Calibration</w:t>
      </w:r>
    </w:p>
    <w:p/>
    <w:p>
      <w:pPr>
        <w:pStyle w:val="Heading2"/>
      </w:pPr>
      <w:r>
        <w:t>5.4 Coupling to the BTC Framework</w:t>
      </w:r>
    </w:p>
    <w:p/>
    <w:p>
      <w:pPr>
        <w:pStyle w:val="Heading1"/>
      </w:pPr>
      <w:r>
        <w:t>6. Field Deployment Pathway</w:t>
      </w:r>
    </w:p>
    <w:p/>
    <w:p>
      <w:r>
        <w:rPr>
          <w:i/>
        </w:rPr>
        <w:t>[Fig. 10 placeholder — see Figure Captions] — Field deployment pathway schematic</w:t>
      </w:r>
    </w:p>
    <w:p>
      <w:pPr>
        <w:pStyle w:val="Heading1"/>
      </w:pPr>
      <w:r>
        <w:t>7. Conclusions</w:t>
      </w:r>
    </w:p>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