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8"/>
        </w:rPr>
        <w:t>Brief — Doc-Lag Fold-In Sheet</w:t>
      </w:r>
    </w:p>
    <w:p>
      <w:r>
        <w:rPr>
          <w:i/>
          <w:color w:val="555555"/>
          <w:sz w:val="20"/>
        </w:rPr>
        <w:t>Errata for the master  Project_Status_Brief_v4_2.docx  ·  prepared 2026-06-17 for Kangzhi Qin  ·  one minor item</w:t>
      </w:r>
    </w:p>
    <w:p>
      <w:pPr>
        <w:spacing w:before="80" w:after="40"/>
      </w:pPr>
      <w:r>
        <w:rPr>
          <w:b w:val="0"/>
          <w:i/>
          <w:color w:val="555555"/>
          <w:sz w:val="21"/>
        </w:rPr>
        <w:t>Purpose. Same review as the Build Plan sheet. The Brief is substantively already correct — it specifies a single shared CIP-Short Lack-of-Readiness (LR) distal outcome administered pre + post to ALL participants (Block 4, §3.4, ¶411). Only one leftover parenthetical lags the code; everything else (single CIP-LR, merged H4, Andrea’s H6 on the shared LR, ~50–60-min total, comfort settings list) matches and needs no change.</w:t>
      </w:r>
    </w:p>
    <w:p>
      <w:pPr>
        <w:spacing w:before="280" w:after="80"/>
      </w:pPr>
      <w:r>
        <w:rPr>
          <w:b/>
          <w:color w:val="1F497D"/>
          <w:sz w:val="26"/>
        </w:rPr>
        <w:t>1.  Andrea’s post-CIP-LR is the SHARED distal outcome, not a study=andrea-only render  (§3.4 measures)</w:t>
      </w:r>
    </w:p>
    <w:p>
      <w:pPr>
        <w:spacing w:before="0" w:after="80"/>
      </w:pPr>
      <w:r>
        <w:rPr>
          <w:b w:val="0"/>
          <w:i w:val="0"/>
          <w:sz w:val="21"/>
        </w:rPr>
        <w:t>¶411 (Block 4) already states the CIP-LR is administered to everyone pre + post, with items “identical to Andrea’s DV below.” So the “(rendered only when study=andrea)” parenthetical in ¶416 is stale: the post-CIP-LR renders for all conditions, and Andrea’s DV is simply that same shared block (no separate items, no Andrea-gated rendering).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val="clear" w:color="auto" w:fill="EEF2F7"/>
          </w:tcPr>
          <w:p>
            <w:r>
              <w:rPr>
                <w:b/>
                <w:color w:val="1F497D"/>
                <w:sz w:val="19"/>
              </w:rPr>
              <w:t>Master now (¶416)</w:t>
            </w:r>
          </w:p>
        </w:tc>
        <w:tc>
          <w:tcPr>
            <w:tcW w:type="dxa" w:w="7272"/>
          </w:tcPr>
          <w:p>
            <w:r>
              <w:rPr>
                <w:color w:val="993300"/>
                <w:sz w:val="20"/>
              </w:rPr>
              <w:t>“Andrea’s measures (rendered only when study=andrea):  post-CIP-LR (same items verbatim) of CIP-Short, Lack of Readiness subscale … administered pre (Block 4, pre-survey) and post (post-survey). …”</w:t>
            </w:r>
          </w:p>
        </w:tc>
      </w:tr>
      <w:tr>
        <w:tc>
          <w:tcPr>
            <w:tcW w:type="dxa" w:w="2088"/>
            <w:shd w:val="clear" w:color="auto" w:fill="EEF2F7"/>
          </w:tcPr>
          <w:p>
            <w:r>
              <w:rPr>
                <w:b/>
                <w:color w:val="1F497D"/>
                <w:sz w:val="19"/>
              </w:rPr>
              <w:t>Change to</w:t>
            </w:r>
          </w:p>
        </w:tc>
        <w:tc>
          <w:tcPr>
            <w:tcW w:type="dxa" w:w="7272"/>
          </w:tcPr>
          <w:p>
            <w:r>
              <w:rPr>
                <w:color w:val="1B5E20"/>
                <w:sz w:val="20"/>
              </w:rPr>
              <w:t>Drop the “(rendered only when study=andrea)” framing, e.g.: “Andrea’s distal outcome is the shared post-CIP-LR (same items as Block 4; administered pre + post to all participants) — no separate Andrea-specific items and no study=andrea-gated block.”</w:t>
            </w:r>
          </w:p>
        </w:tc>
      </w:tr>
      <w:tr>
        <w:tc>
          <w:tcPr>
            <w:tcW w:type="dxa" w:w="2088"/>
            <w:shd w:val="clear" w:color="auto" w:fill="EEF2F7"/>
          </w:tcPr>
          <w:p>
            <w:r>
              <w:rPr>
                <w:b/>
                <w:color w:val="1F497D"/>
                <w:sz w:val="19"/>
              </w:rPr>
              <w:t>Source of truth</w:t>
            </w:r>
          </w:p>
        </w:tc>
        <w:tc>
          <w:tcPr>
            <w:tcW w:type="dxa" w:w="7272"/>
          </w:tcPr>
          <w:p>
            <w:r>
              <w:rPr>
                <w:sz w:val="20"/>
              </w:rPr>
              <w:t>survey.jsx — one shared CIP-LR block rendered for all cond=main and baseline participants; no study=andrea conditional. Consistent with Brief ¶411 (Block 4) and Build Plan ¶314.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 w:val="0"/>
          <w:i/>
          <w:color w:val="555555"/>
          <w:sz w:val="21"/>
        </w:rPr>
        <w:t>Note. This is a wording/consistency fix only — no hypothesis, measure, or analysis in the Brief changes. If you prefer, it can be skipped without affecting the study’s correctness.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