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8"/>
        </w:rPr>
        <w:t>Build Plan — Doc-Lag Fold-In Sheet</w:t>
      </w:r>
    </w:p>
    <w:p>
      <w:r>
        <w:rPr>
          <w:i/>
          <w:color w:val="555555"/>
          <w:sz w:val="20"/>
        </w:rPr>
        <w:t>Errata for the master  Artifact_Build_Plan_v5_2.docx  ·  prepared 2026-06-17 for Kangzhi Qin  ·  no code changes required</w:t>
      </w:r>
    </w:p>
    <w:p>
      <w:pPr>
        <w:spacing w:before="80" w:after="40"/>
      </w:pPr>
      <w:r>
        <w:rPr>
          <w:b w:val="0"/>
          <w:i/>
          <w:color w:val="555555"/>
          <w:sz w:val="21"/>
        </w:rPr>
        <w:t>Purpose. The three items below are places where the DEPLOYED CODE is the agreed, correct state, but the master Build Plan v5.2 document body still shows pre-decision text. Each decision is already logged in the living change record (BUILD_PLAN_CHANGE_RECORD.md) and is live on Railway; this sheet simply pinpoints which master paragraphs to edit so the master matches the deployment. Paragraph indices are 0-based positions in the .docx for orientation — search the quoted phrase to locate them.</w:t>
      </w:r>
    </w:p>
    <w:p>
      <w:pPr>
        <w:spacing w:before="280" w:after="80"/>
      </w:pPr>
      <w:r>
        <w:rPr>
          <w:b/>
          <w:color w:val="1F497D"/>
          <w:sz w:val="26"/>
        </w:rPr>
        <w:t>1.  Comfort defaults — text size &amp; reading font  (§0.1 build summary; §16 Comfort settings)</w:t>
      </w:r>
    </w:p>
    <w:p>
      <w:pPr>
        <w:spacing w:before="0" w:after="80"/>
      </w:pPr>
      <w:r>
        <w:rPr>
          <w:b w:val="0"/>
          <w:i w:val="0"/>
          <w:sz w:val="21"/>
        </w:rPr>
        <w:t>Decision: reading font Sans (was Serif) and text size A+++ / max (was A++). Theme Dark, spacing Roomy, width Wide, motion Full are unchanged and already correct.</w:t>
      </w:r>
    </w:p>
    <w:tbl>
      <w:tblPr>
        <w:tblStyle w:val="TableGrid"/>
        <w:tblW w:type="auto" w:w="0"/>
        <w:tblLayout w:type="fixed"/>
        <w:tblLook w:firstColumn="1" w:firstRow="1" w:lastColumn="0" w:lastRow="0" w:noHBand="0" w:noVBand="1" w:val="04A0"/>
      </w:tblPr>
      <w:tblGrid>
        <w:gridCol w:w="4320"/>
        <w:gridCol w:w="4320"/>
      </w:tblGrid>
      <w:tr>
        <w:tc>
          <w:tcPr>
            <w:tcW w:type="dxa" w:w="2088"/>
            <w:shd w:val="clear" w:color="auto" w:fill="EEF2F7"/>
          </w:tcPr>
          <w:p>
            <w:r>
              <w:rPr>
                <w:b/>
                <w:color w:val="1F497D"/>
                <w:sz w:val="19"/>
              </w:rPr>
              <w:t>Master now (¶66)</w:t>
            </w:r>
          </w:p>
        </w:tc>
        <w:tc>
          <w:tcPr>
            <w:tcW w:type="dxa" w:w="7272"/>
          </w:tcPr>
          <w:p>
            <w:r>
              <w:rPr>
                <w:color w:val="993300"/>
                <w:sz w:val="20"/>
              </w:rPr>
              <w:t>“Comfort defaults per plan: text A++, theme Dark, reading font Serif, spacing Roomy, width Wide, motion Full; a Serif/Sans reading-font option was added to the comfort panel. (§16)”</w:t>
            </w:r>
          </w:p>
        </w:tc>
      </w:tr>
      <w:tr>
        <w:tc>
          <w:tcPr>
            <w:tcW w:type="dxa" w:w="2088"/>
            <w:shd w:val="clear" w:color="auto" w:fill="EEF2F7"/>
          </w:tcPr>
          <w:p>
            <w:r>
              <w:rPr>
                <w:b/>
                <w:color w:val="1F497D"/>
                <w:sz w:val="19"/>
              </w:rPr>
              <w:t>Change to</w:t>
            </w:r>
          </w:p>
        </w:tc>
        <w:tc>
          <w:tcPr>
            <w:tcW w:type="dxa" w:w="7272"/>
          </w:tcPr>
          <w:p>
            <w:r>
              <w:rPr>
                <w:color w:val="1B5E20"/>
                <w:sz w:val="20"/>
              </w:rPr>
              <w:t>“Comfort defaults: text A+++, theme Dark, reading font Sans, spacing Roomy, width Wide, motion Full; serif remains a one-tap option in the comfort panel. (§16)”</w:t>
            </w:r>
          </w:p>
        </w:tc>
      </w:tr>
      <w:tr>
        <w:tc>
          <w:tcPr>
            <w:tcW w:type="dxa" w:w="2088"/>
            <w:shd w:val="clear" w:color="auto" w:fill="EEF2F7"/>
          </w:tcPr>
          <w:p>
            <w:r>
              <w:rPr>
                <w:b/>
                <w:color w:val="1F497D"/>
                <w:sz w:val="19"/>
              </w:rPr>
              <w:t>Master now (¶373)</w:t>
            </w:r>
          </w:p>
        </w:tc>
        <w:tc>
          <w:tcPr>
            <w:tcW w:type="dxa" w:w="7272"/>
          </w:tcPr>
          <w:p>
            <w:r>
              <w:rPr>
                <w:color w:val="993300"/>
                <w:sz w:val="20"/>
              </w:rPr>
              <w:t>“… Defaults: A++ · Dark · Serif · Roomy · Wide · Full. Persisted locally …”</w:t>
            </w:r>
          </w:p>
        </w:tc>
      </w:tr>
      <w:tr>
        <w:tc>
          <w:tcPr>
            <w:tcW w:type="dxa" w:w="2088"/>
            <w:shd w:val="clear" w:color="auto" w:fill="EEF2F7"/>
          </w:tcPr>
          <w:p>
            <w:r>
              <w:rPr>
                <w:b/>
                <w:color w:val="1F497D"/>
                <w:sz w:val="19"/>
              </w:rPr>
              <w:t>Change to</w:t>
            </w:r>
          </w:p>
        </w:tc>
        <w:tc>
          <w:tcPr>
            <w:tcW w:type="dxa" w:w="7272"/>
          </w:tcPr>
          <w:p>
            <w:r>
              <w:rPr>
                <w:color w:val="1B5E20"/>
                <w:sz w:val="20"/>
              </w:rPr>
              <w:t>“… Defaults: A+++ · Dark · Sans · Roomy · Wide · Full. Persisted locally …”</w:t>
            </w:r>
          </w:p>
        </w:tc>
      </w:tr>
      <w:tr>
        <w:tc>
          <w:tcPr>
            <w:tcW w:type="dxa" w:w="2088"/>
            <w:shd w:val="clear" w:color="auto" w:fill="EEF2F7"/>
          </w:tcPr>
          <w:p>
            <w:r>
              <w:rPr>
                <w:b/>
                <w:color w:val="1F497D"/>
                <w:sz w:val="19"/>
              </w:rPr>
              <w:t>Also (¶432)</w:t>
            </w:r>
          </w:p>
        </w:tc>
        <w:tc>
          <w:tcPr>
            <w:tcW w:type="dxa" w:w="7272"/>
          </w:tcPr>
          <w:p>
            <w:r>
              <w:rPr>
                <w:sz w:val="20"/>
              </w:rPr>
              <w:t>“[NOTE] Dark theme is now the participant default …” — Dark is correct; optionally add that A+++ and Sans are likewise the type defaults.</w:t>
            </w:r>
          </w:p>
        </w:tc>
      </w:tr>
      <w:tr>
        <w:tc>
          <w:tcPr>
            <w:tcW w:type="dxa" w:w="2088"/>
            <w:shd w:val="clear" w:color="auto" w:fill="EEF2F7"/>
          </w:tcPr>
          <w:p>
            <w:r>
              <w:rPr>
                <w:b/>
                <w:color w:val="1F497D"/>
                <w:sz w:val="19"/>
              </w:rPr>
              <w:t>Source of truth</w:t>
            </w:r>
          </w:p>
        </w:tc>
        <w:tc>
          <w:tcPr>
            <w:tcW w:type="dxa" w:w="7272"/>
          </w:tcPr>
          <w:p>
            <w:r>
              <w:rPr>
                <w:sz w:val="20"/>
              </w:rPr>
              <w:t>screens.jsx:338  COMFORT_DEFAULTS = { size:'xl', spacing:'roomy', width:'wide', motion:'full', font:'sans' };  theme dark (styles.css:28). Size scale (screens.jsx:376): sm=A, md=A+, lg=A++, xl=A+++ → default 'xl' = A+++. Logged: change record §16, (2026-06-11) “Comfort defaults” [USER-ORDERED][DEPLOYED]; storage key bumped to thesis_comfort_v3.</w:t>
            </w:r>
          </w:p>
        </w:tc>
      </w:tr>
    </w:tbl>
    <w:p>
      <w:pPr>
        <w:spacing w:after="40"/>
      </w:pPr>
    </w:p>
    <w:p>
      <w:pPr>
        <w:spacing w:before="280" w:after="80"/>
      </w:pPr>
      <w:r>
        <w:rPr>
          <w:b/>
          <w:color w:val="1F497D"/>
          <w:sz w:val="26"/>
        </w:rPr>
        <w:t>2.  Landing session-length framing  (§7, Screen 0 — Landing)</w:t>
      </w:r>
    </w:p>
    <w:p>
      <w:pPr>
        <w:spacing w:before="0" w:after="80"/>
      </w:pPr>
      <w:r>
        <w:rPr>
          <w:b w:val="0"/>
          <w:i w:val="0"/>
          <w:sz w:val="21"/>
        </w:rPr>
        <w:t>Decision: the single intimidating “~50–60 minute session” pill was replaced by a calm per-stage block. The TOTAL length is unchanged — consent and the procedure still correctly say ~50–60 min / “about an hour.” Only the landing presentation changed.</w:t>
      </w:r>
    </w:p>
    <w:tbl>
      <w:tblPr>
        <w:tblStyle w:val="TableGrid"/>
        <w:tblW w:type="auto" w:w="0"/>
        <w:tblLayout w:type="fixed"/>
        <w:tblLook w:firstColumn="1" w:firstRow="1" w:lastColumn="0" w:lastRow="0" w:noHBand="0" w:noVBand="1" w:val="04A0"/>
      </w:tblPr>
      <w:tblGrid>
        <w:gridCol w:w="4320"/>
        <w:gridCol w:w="4320"/>
      </w:tblGrid>
      <w:tr>
        <w:tc>
          <w:tcPr>
            <w:tcW w:type="dxa" w:w="2088"/>
            <w:shd w:val="clear" w:color="auto" w:fill="EEF2F7"/>
          </w:tcPr>
          <w:p>
            <w:r>
              <w:rPr>
                <w:b/>
                <w:color w:val="1F497D"/>
                <w:sz w:val="19"/>
              </w:rPr>
              <w:t>Master now (¶158)</w:t>
            </w:r>
          </w:p>
        </w:tc>
        <w:tc>
          <w:tcPr>
            <w:tcW w:type="dxa" w:w="7272"/>
          </w:tcPr>
          <w:p>
            <w:r>
              <w:rPr>
                <w:color w:val="993300"/>
                <w:sz w:val="20"/>
              </w:rPr>
              <w:t>“Screen 0 — Landing. Calm hero; “~50–60 minute session”; … chip replaced with “A conversation with your future self” …”  (the “~50–60 minute session” pill phrasing is the stale part)</w:t>
            </w:r>
          </w:p>
        </w:tc>
      </w:tr>
      <w:tr>
        <w:tc>
          <w:tcPr>
            <w:tcW w:type="dxa" w:w="2088"/>
            <w:shd w:val="clear" w:color="auto" w:fill="EEF2F7"/>
          </w:tcPr>
          <w:p>
            <w:r>
              <w:rPr>
                <w:b/>
                <w:color w:val="1F497D"/>
                <w:sz w:val="19"/>
              </w:rPr>
              <w:t>Change to</w:t>
            </w:r>
          </w:p>
        </w:tc>
        <w:tc>
          <w:tcPr>
            <w:tcW w:type="dxa" w:w="7272"/>
          </w:tcPr>
          <w:p>
            <w:r>
              <w:rPr>
                <w:color w:val="1B5E20"/>
                <w:sz w:val="20"/>
              </w:rPr>
              <w:t>Replace the “~50–60 minute session” pill with the deployed two-line block: per-stage times first — questionnaire ~10 · choosing ~10–15 · conversation 20–30 — then “about an hour in all,” then the reassurance that breaks are built in and the page can be closed and resumed anytime. Keep the “A conversation with your future self” chip and the rest of ¶158 (How-it-works Step-03 etc.) as is.</w:t>
            </w:r>
          </w:p>
        </w:tc>
      </w:tr>
      <w:tr>
        <w:tc>
          <w:tcPr>
            <w:tcW w:type="dxa" w:w="2088"/>
            <w:shd w:val="clear" w:color="auto" w:fill="EEF2F7"/>
          </w:tcPr>
          <w:p>
            <w:r>
              <w:rPr>
                <w:b/>
                <w:color w:val="1F497D"/>
                <w:sz w:val="19"/>
              </w:rPr>
              <w:t>Source of truth</w:t>
            </w:r>
          </w:p>
        </w:tc>
        <w:tc>
          <w:tcPr>
            <w:tcW w:type="dxa" w:w="7272"/>
          </w:tcPr>
          <w:p>
            <w:r>
              <w:rPr>
                <w:sz w:val="20"/>
              </w:rPr>
              <w:t>screens.jsx:44 (How-it-works modal copy). Logged: change record §7, (2026-06-11) “Screen 0 — landing rebuilt minimal-first” [USER-ORDERED][DEPLOYED].</w:t>
            </w:r>
          </w:p>
        </w:tc>
      </w:tr>
    </w:tbl>
    <w:p>
      <w:pPr>
        <w:spacing w:after="40"/>
      </w:pPr>
    </w:p>
    <w:p>
      <w:pPr>
        <w:spacing w:before="280" w:after="80"/>
      </w:pPr>
      <w:r>
        <w:rPr>
          <w:b/>
          <w:color w:val="1F497D"/>
          <w:sz w:val="26"/>
        </w:rPr>
        <w:t>3.  Andrea post-survey placeholder — remove residual references  (§6, §7, open-items)</w:t>
      </w:r>
    </w:p>
    <w:p>
      <w:pPr>
        <w:spacing w:before="0" w:after="80"/>
      </w:pPr>
      <w:r>
        <w:rPr>
          <w:b w:val="0"/>
          <w:i w:val="0"/>
          <w:sz w:val="21"/>
        </w:rPr>
        <w:t>The master ALREADY records the removal at §10.2 ¶314 (“[REMOVED from the app v5.2] the disabled study=andrea placeholder block no longer ships; Andrea’s LR DV is administered through the shared CIP-LR block”). Three other paragraphs still reference the placeholder and now contradict ¶314 — delete those mentions.</w:t>
      </w:r>
    </w:p>
    <w:tbl>
      <w:tblPr>
        <w:tblStyle w:val="TableGrid"/>
        <w:tblW w:type="auto" w:w="0"/>
        <w:tblLayout w:type="fixed"/>
        <w:tblLook w:firstColumn="1" w:firstRow="1" w:lastColumn="0" w:lastRow="0" w:noHBand="0" w:noVBand="1" w:val="04A0"/>
      </w:tblPr>
      <w:tblGrid>
        <w:gridCol w:w="4320"/>
        <w:gridCol w:w="4320"/>
      </w:tblGrid>
      <w:tr>
        <w:tc>
          <w:tcPr>
            <w:tcW w:type="dxa" w:w="2088"/>
            <w:shd w:val="clear" w:color="auto" w:fill="EEF2F7"/>
          </w:tcPr>
          <w:p>
            <w:r>
              <w:rPr>
                <w:b/>
                <w:color w:val="1F497D"/>
                <w:sz w:val="19"/>
              </w:rPr>
              <w:t>Master now (¶167)</w:t>
            </w:r>
          </w:p>
        </w:tc>
        <w:tc>
          <w:tcPr>
            <w:tcW w:type="dxa" w:w="7272"/>
          </w:tcPr>
          <w:p>
            <w:r>
              <w:rPr>
                <w:color w:val="993300"/>
                <w:sz w:val="20"/>
              </w:rPr>
              <w:t>“… interview opt-in (+ Andrea’s placeholder block when study=andrea). No Back into the role-play.”</w:t>
            </w:r>
          </w:p>
        </w:tc>
      </w:tr>
      <w:tr>
        <w:tc>
          <w:tcPr>
            <w:tcW w:type="dxa" w:w="2088"/>
            <w:shd w:val="clear" w:color="auto" w:fill="EEF2F7"/>
          </w:tcPr>
          <w:p>
            <w:r>
              <w:rPr>
                <w:b/>
                <w:color w:val="1F497D"/>
                <w:sz w:val="19"/>
              </w:rPr>
              <w:t>Change to</w:t>
            </w:r>
          </w:p>
        </w:tc>
        <w:tc>
          <w:tcPr>
            <w:tcW w:type="dxa" w:w="7272"/>
          </w:tcPr>
          <w:p>
            <w:r>
              <w:rPr>
                <w:color w:val="1B5E20"/>
                <w:sz w:val="20"/>
              </w:rPr>
              <w:t>Delete “(+ Andrea’s placeholder block when study=andrea)” → “… interview opt-in. No Back into the role-play.”</w:t>
            </w:r>
          </w:p>
        </w:tc>
      </w:tr>
      <w:tr>
        <w:tc>
          <w:tcPr>
            <w:tcW w:type="dxa" w:w="2088"/>
            <w:shd w:val="clear" w:color="auto" w:fill="EEF2F7"/>
          </w:tcPr>
          <w:p>
            <w:r>
              <w:rPr>
                <w:b/>
                <w:color w:val="1F497D"/>
                <w:sz w:val="19"/>
              </w:rPr>
              <w:t>Master now (¶143)</w:t>
            </w:r>
          </w:p>
        </w:tc>
        <w:tc>
          <w:tcPr>
            <w:tcW w:type="dxa" w:w="7272"/>
          </w:tcPr>
          <w:p>
            <w:r>
              <w:rPr>
                <w:color w:val="993300"/>
                <w:sz w:val="20"/>
              </w:rPr>
              <w:t>“study → analysis tag only (kangzhi default, andrea, …); never changes behaviour (except Andrea’s post-survey placeholder block)”</w:t>
            </w:r>
          </w:p>
        </w:tc>
      </w:tr>
      <w:tr>
        <w:tc>
          <w:tcPr>
            <w:tcW w:type="dxa" w:w="2088"/>
            <w:shd w:val="clear" w:color="auto" w:fill="EEF2F7"/>
          </w:tcPr>
          <w:p>
            <w:r>
              <w:rPr>
                <w:b/>
                <w:color w:val="1F497D"/>
                <w:sz w:val="19"/>
              </w:rPr>
              <w:t>Change to</w:t>
            </w:r>
          </w:p>
        </w:tc>
        <w:tc>
          <w:tcPr>
            <w:tcW w:type="dxa" w:w="7272"/>
          </w:tcPr>
          <w:p>
            <w:r>
              <w:rPr>
                <w:color w:val="1B5E20"/>
                <w:sz w:val="20"/>
              </w:rPr>
              <w:t>Delete “(except Andrea’s post-survey placeholder block)” → “… never changes behaviour.”</w:t>
            </w:r>
          </w:p>
        </w:tc>
      </w:tr>
      <w:tr>
        <w:tc>
          <w:tcPr>
            <w:tcW w:type="dxa" w:w="2088"/>
            <w:shd w:val="clear" w:color="auto" w:fill="EEF2F7"/>
          </w:tcPr>
          <w:p>
            <w:r>
              <w:rPr>
                <w:b/>
                <w:color w:val="1F497D"/>
                <w:sz w:val="19"/>
              </w:rPr>
              <w:t>Master now (¶428)</w:t>
            </w:r>
          </w:p>
        </w:tc>
        <w:tc>
          <w:tcPr>
            <w:tcW w:type="dxa" w:w="7272"/>
          </w:tcPr>
          <w:p>
            <w:r>
              <w:rPr>
                <w:color w:val="993300"/>
                <w:sz w:val="20"/>
              </w:rPr>
              <w:t>“[OPEN] Andrea’s DV items (CDSE-SF + agency/closeness) for the placeholder slot (§10.2).”</w:t>
            </w:r>
          </w:p>
        </w:tc>
      </w:tr>
      <w:tr>
        <w:tc>
          <w:tcPr>
            <w:tcW w:type="dxa" w:w="2088"/>
            <w:shd w:val="clear" w:color="auto" w:fill="EEF2F7"/>
          </w:tcPr>
          <w:p>
            <w:r>
              <w:rPr>
                <w:b/>
                <w:color w:val="1F497D"/>
                <w:sz w:val="19"/>
              </w:rPr>
              <w:t>Change to</w:t>
            </w:r>
          </w:p>
        </w:tc>
        <w:tc>
          <w:tcPr>
            <w:tcW w:type="dxa" w:w="7272"/>
          </w:tcPr>
          <w:p>
            <w:r>
              <w:rPr>
                <w:color w:val="1B5E20"/>
                <w:sz w:val="20"/>
              </w:rPr>
              <w:t>Close/remove this OPEN item — superseded by the single shared CIP-LR (no separate Andrea items).</w:t>
            </w:r>
          </w:p>
        </w:tc>
      </w:tr>
      <w:tr>
        <w:tc>
          <w:tcPr>
            <w:tcW w:type="dxa" w:w="2088"/>
            <w:shd w:val="clear" w:color="auto" w:fill="EEF2F7"/>
          </w:tcPr>
          <w:p>
            <w:r>
              <w:rPr>
                <w:b/>
                <w:color w:val="1F497D"/>
                <w:sz w:val="19"/>
              </w:rPr>
              <w:t>Source of truth</w:t>
            </w:r>
          </w:p>
        </w:tc>
        <w:tc>
          <w:tcPr>
            <w:tcW w:type="dxa" w:w="7272"/>
          </w:tcPr>
          <w:p>
            <w:r>
              <w:rPr>
                <w:sz w:val="20"/>
              </w:rPr>
              <w:t>survey.jsx — no Andrea placeholder block and no study=andrea-gated post-survey rendering; consistent with master ¶314. Andrea’s DV = the shared CIP-LR (Appendix F).</w:t>
            </w:r>
          </w:p>
        </w:tc>
      </w:tr>
    </w:tbl>
    <w:p>
      <w:pPr>
        <w:spacing w:after="40"/>
      </w:pPr>
    </w:p>
    <w:p>
      <w:pPr>
        <w:spacing w:before="240" w:after="80"/>
      </w:pPr>
      <w:r>
        <w:rPr>
          <w:b w:val="0"/>
          <w:i/>
          <w:color w:val="555555"/>
          <w:sz w:val="21"/>
        </w:rPr>
        <w:t>— End of Build Plan fold-in sheet. After applying, the master v5.2 body matches the deployed code on these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