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line="360" w:lineRule="auto"/>
        <w:jc w:val="center"/>
      </w:pPr>
      <w:r>
        <w:rPr>
          <w:rFonts w:ascii="Times New Roman" w:hAnsi="Times New Roman"/>
          <w:b/>
          <w:i w:val="0"/>
          <w:color w:val="4A5568"/>
          <w:sz w:val="28"/>
        </w:rPr>
        <w:t>FINAL YEAR PROJECT (FYP) THESIS</w:t>
      </w:r>
    </w:p>
    <w:p>
      <w:pPr>
        <w:spacing w:before="120" w:after="360" w:line="360" w:lineRule="auto"/>
        <w:jc w:val="center"/>
      </w:pPr>
      <w:r>
        <w:rPr>
          <w:rFonts w:ascii="Times New Roman" w:hAnsi="Times New Roman"/>
          <w:b/>
          <w:i w:val="0"/>
          <w:color w:val="1A365D"/>
          <w:sz w:val="40"/>
        </w:rPr>
        <w:t>SOFTWARE REQUIREMENTS SPECIFICATION (SRS)</w:t>
      </w:r>
    </w:p>
    <w:p>
      <w:pPr>
        <w:spacing w:before="120" w:after="720" w:line="360" w:lineRule="auto"/>
        <w:jc w:val="center"/>
      </w:pPr>
      <w:r>
        <w:rPr>
          <w:rFonts w:ascii="Times New Roman" w:hAnsi="Times New Roman"/>
          <w:b/>
          <w:i w:val="0"/>
          <w:color w:val="2B6CB0"/>
          <w:sz w:val="30"/>
        </w:rPr>
        <w:t>AI-POWERED MULTIMODAL E-COMMERCE PLATFORM FOR AUTHENTIC PESHAWARI CHAPPAL WITH COMPUTER VISION FOOT SIZING, 3D MESH CUSTOMIZATION, AND DUAL-TIER CAPITAL LEDGER ARCHITECTURE</w:t>
      </w:r>
    </w:p>
    <w:tbl>
      <w:tblPr>
        <w:tblW w:type="auto" w:w="0"/>
        <w:jc w:val="center"/>
        <w:tblLook w:firstColumn="1" w:firstRow="1" w:lastColumn="0" w:lastRow="0" w:noHBand="0" w:noVBand="1" w:val="04A0"/>
      </w:tblPr>
      <w:tblGrid>
        <w:gridCol w:w="4514"/>
        <w:gridCol w:w="4514"/>
      </w:tblGrid>
      <w:tr>
        <w:tc>
          <w:tcPr>
            <w:tcW w:type="dxa" w:w="3168"/>
          </w:tcPr>
          <w:p>
            <w:pPr>
              <w:spacing w:line="312" w:lineRule="auto" w:before="40" w:after="40"/>
              <w:jc w:val="left"/>
            </w:pPr>
            <w:r>
              <w:rPr>
                <w:rFonts w:ascii="Times New Roman" w:hAnsi="Times New Roman"/>
                <w:b/>
                <w:color w:val="1A365D"/>
                <w:sz w:val="22"/>
              </w:rPr>
              <w:t>Academic Program:</w:t>
            </w:r>
          </w:p>
        </w:tc>
        <w:tc>
          <w:tcPr>
            <w:tcW w:type="dxa" w:w="5760"/>
          </w:tcPr>
          <w:p>
            <w:pPr>
              <w:spacing w:line="312" w:lineRule="auto" w:before="40" w:after="40"/>
              <w:jc w:val="left"/>
            </w:pPr>
            <w:r>
              <w:rPr>
                <w:rFonts w:ascii="Times New Roman" w:hAnsi="Times New Roman"/>
                <w:color w:val="2D3748"/>
                <w:sz w:val="22"/>
              </w:rPr>
              <w:t>Bachelor of Science in Computer Science / Software Engineering</w:t>
            </w:r>
          </w:p>
        </w:tc>
      </w:tr>
      <w:tr>
        <w:tc>
          <w:tcPr>
            <w:tcW w:type="dxa" w:w="3168"/>
          </w:tcPr>
          <w:p>
            <w:pPr>
              <w:spacing w:line="312" w:lineRule="auto" w:before="40" w:after="40"/>
              <w:jc w:val="left"/>
            </w:pPr>
            <w:r>
              <w:rPr>
                <w:rFonts w:ascii="Times New Roman" w:hAnsi="Times New Roman"/>
                <w:b/>
                <w:color w:val="1A365D"/>
                <w:sz w:val="22"/>
              </w:rPr>
              <w:t>Course:</w:t>
            </w:r>
          </w:p>
        </w:tc>
        <w:tc>
          <w:tcPr>
            <w:tcW w:type="dxa" w:w="5760"/>
          </w:tcPr>
          <w:p>
            <w:pPr>
              <w:spacing w:line="312" w:lineRule="auto" w:before="40" w:after="40"/>
              <w:jc w:val="left"/>
            </w:pPr>
            <w:r>
              <w:rPr>
                <w:rFonts w:ascii="Times New Roman" w:hAnsi="Times New Roman"/>
                <w:color w:val="2D3748"/>
                <w:sz w:val="22"/>
              </w:rPr>
              <w:t>CS-499: Final Year Project Capstone</w:t>
            </w:r>
          </w:p>
        </w:tc>
      </w:tr>
      <w:tr>
        <w:tc>
          <w:tcPr>
            <w:tcW w:type="dxa" w:w="3168"/>
          </w:tcPr>
          <w:p>
            <w:pPr>
              <w:spacing w:line="312" w:lineRule="auto" w:before="40" w:after="40"/>
              <w:jc w:val="left"/>
            </w:pPr>
            <w:r>
              <w:rPr>
                <w:rFonts w:ascii="Times New Roman" w:hAnsi="Times New Roman"/>
                <w:b/>
                <w:color w:val="1A365D"/>
                <w:sz w:val="22"/>
              </w:rPr>
              <w:t>Project Domain:</w:t>
            </w:r>
          </w:p>
        </w:tc>
        <w:tc>
          <w:tcPr>
            <w:tcW w:type="dxa" w:w="5760"/>
          </w:tcPr>
          <w:p>
            <w:pPr>
              <w:spacing w:line="312" w:lineRule="auto" w:before="40" w:after="40"/>
              <w:jc w:val="left"/>
            </w:pPr>
            <w:r>
              <w:rPr>
                <w:rFonts w:ascii="Times New Roman" w:hAnsi="Times New Roman"/>
                <w:color w:val="2D3748"/>
                <w:sz w:val="22"/>
              </w:rPr>
              <w:t>Full-Stack Web Engineering, Applied Computer Vision &amp; Generative AI</w:t>
            </w:r>
          </w:p>
        </w:tc>
      </w:tr>
      <w:tr>
        <w:tc>
          <w:tcPr>
            <w:tcW w:type="dxa" w:w="3168"/>
          </w:tcPr>
          <w:p>
            <w:pPr>
              <w:spacing w:line="312" w:lineRule="auto" w:before="40" w:after="40"/>
              <w:jc w:val="left"/>
            </w:pPr>
            <w:r>
              <w:rPr>
                <w:rFonts w:ascii="Times New Roman" w:hAnsi="Times New Roman"/>
                <w:b/>
                <w:color w:val="1A365D"/>
                <w:sz w:val="22"/>
              </w:rPr>
              <w:t>Academic Session:</w:t>
            </w:r>
          </w:p>
        </w:tc>
        <w:tc>
          <w:tcPr>
            <w:tcW w:type="dxa" w:w="5760"/>
          </w:tcPr>
          <w:p>
            <w:pPr>
              <w:spacing w:line="312" w:lineRule="auto" w:before="40" w:after="40"/>
              <w:jc w:val="left"/>
            </w:pPr>
            <w:r>
              <w:rPr>
                <w:rFonts w:ascii="Times New Roman" w:hAnsi="Times New Roman"/>
                <w:color w:val="2D3748"/>
                <w:sz w:val="22"/>
              </w:rPr>
              <w:t>2025 – 2026</w:t>
            </w:r>
          </w:p>
        </w:tc>
      </w:tr>
      <w:tr>
        <w:tc>
          <w:tcPr>
            <w:tcW w:type="dxa" w:w="3168"/>
          </w:tcPr>
          <w:p>
            <w:pPr>
              <w:spacing w:line="312" w:lineRule="auto" w:before="40" w:after="40"/>
              <w:jc w:val="left"/>
            </w:pPr>
            <w:r>
              <w:rPr>
                <w:rFonts w:ascii="Times New Roman" w:hAnsi="Times New Roman"/>
                <w:b/>
                <w:color w:val="1A365D"/>
                <w:sz w:val="22"/>
              </w:rPr>
              <w:t>Document Version:</w:t>
            </w:r>
          </w:p>
        </w:tc>
        <w:tc>
          <w:tcPr>
            <w:tcW w:type="dxa" w:w="5760"/>
          </w:tcPr>
          <w:p>
            <w:pPr>
              <w:spacing w:line="312" w:lineRule="auto" w:before="40" w:after="40"/>
              <w:jc w:val="left"/>
            </w:pPr>
            <w:r>
              <w:rPr>
                <w:rFonts w:ascii="Times New Roman" w:hAnsi="Times New Roman"/>
                <w:color w:val="2D3748"/>
                <w:sz w:val="22"/>
              </w:rPr>
              <w:t>Version 2.4.0 (Final Official Release)</w:t>
            </w:r>
          </w:p>
        </w:tc>
      </w:tr>
      <w:tr>
        <w:tc>
          <w:tcPr>
            <w:tcW w:type="dxa" w:w="3168"/>
          </w:tcPr>
          <w:p>
            <w:pPr>
              <w:spacing w:line="312" w:lineRule="auto" w:before="40" w:after="40"/>
              <w:jc w:val="left"/>
            </w:pPr>
            <w:r>
              <w:rPr>
                <w:rFonts w:ascii="Times New Roman" w:hAnsi="Times New Roman"/>
                <w:b/>
                <w:color w:val="1A365D"/>
                <w:sz w:val="22"/>
              </w:rPr>
              <w:t>Document Status:</w:t>
            </w:r>
          </w:p>
        </w:tc>
        <w:tc>
          <w:tcPr>
            <w:tcW w:type="dxa" w:w="5760"/>
          </w:tcPr>
          <w:p>
            <w:pPr>
              <w:spacing w:line="312" w:lineRule="auto" w:before="40" w:after="40"/>
              <w:jc w:val="left"/>
            </w:pPr>
            <w:r>
              <w:rPr>
                <w:rFonts w:ascii="Times New Roman" w:hAnsi="Times New Roman"/>
                <w:color w:val="2D3748"/>
                <w:sz w:val="22"/>
              </w:rPr>
              <w:t>Approved for Implementation &amp; Comprehensive Review</w:t>
            </w:r>
          </w:p>
        </w:tc>
      </w:tr>
      <w:tr>
        <w:tc>
          <w:tcPr>
            <w:tcW w:type="dxa" w:w="3168"/>
          </w:tcPr>
          <w:p>
            <w:pPr>
              <w:spacing w:line="312" w:lineRule="auto" w:before="40" w:after="40"/>
              <w:jc w:val="left"/>
            </w:pPr>
            <w:r>
              <w:rPr>
                <w:rFonts w:ascii="Times New Roman" w:hAnsi="Times New Roman"/>
                <w:b/>
                <w:color w:val="1A365D"/>
                <w:sz w:val="22"/>
              </w:rPr>
              <w:t>Date of Submission:</w:t>
            </w:r>
          </w:p>
        </w:tc>
        <w:tc>
          <w:tcPr>
            <w:tcW w:type="dxa" w:w="5760"/>
          </w:tcPr>
          <w:p>
            <w:pPr>
              <w:spacing w:line="312" w:lineRule="auto" w:before="40" w:after="40"/>
              <w:jc w:val="left"/>
            </w:pPr>
            <w:r>
              <w:rPr>
                <w:rFonts w:ascii="Times New Roman" w:hAnsi="Times New Roman"/>
                <w:color w:val="2D3748"/>
                <w:sz w:val="22"/>
              </w:rPr>
              <w:t>September 2026</w:t>
            </w:r>
          </w:p>
        </w:tc>
      </w:tr>
    </w:tbl>
    <w:p>
      <w:r>
        <w:br w:type="page"/>
      </w:r>
    </w:p>
    <w:p>
      <w:pPr>
        <w:spacing w:before="280" w:after="120" w:line="360" w:lineRule="auto"/>
        <w:jc w:val="left"/>
      </w:pPr>
      <w:r>
        <w:rPr>
          <w:rFonts w:ascii="Times New Roman" w:hAnsi="Times New Roman"/>
          <w:b/>
          <w:color w:val="1A365D"/>
          <w:sz w:val="32"/>
        </w:rPr>
        <w:t>Certificate of Approval &amp; Sign-Off</w:t>
      </w:r>
    </w:p>
    <w:p>
      <w:pPr>
        <w:spacing w:before="0" w:after="120" w:line="360" w:lineRule="auto"/>
        <w:jc w:val="both"/>
      </w:pPr>
      <w:r>
        <w:rPr>
          <w:rFonts w:ascii="Times New Roman" w:hAnsi="Times New Roman"/>
          <w:sz w:val="24"/>
        </w:rPr>
        <w:t>This is to certify that the Software Requirements Specification (SRS) document for the project titled "AI-Powered Multimodal E-Commerce Platform for Authentic Peshawari Chappal with Computer Vision Foot Sizing, 3D Mesh Customization, and Dual-Tier Capital Ledger Architecture" has been meticulously reviewed, verified, and found to be in strict accordance with the academic and technical standards established by the Department of Computer Science and Software Engineering.</w:t>
      </w:r>
    </w:p>
    <w:tbl>
      <w:tblPr>
        <w:tblW w:type="auto" w:w="0"/>
        <w:jc w:val="center"/>
        <w:tblLook w:firstColumn="1" w:firstRow="1" w:lastColumn="0" w:lastRow="0" w:noHBand="0" w:noVBand="1" w:val="04A0"/>
      </w:tblPr>
      <w:tblGrid>
        <w:gridCol w:w="3010"/>
        <w:gridCol w:w="3010"/>
        <w:gridCol w:w="3010"/>
      </w:tblGrid>
      <w:tr>
        <w:tc>
          <w:tcPr>
            <w:tcW w:type="dxa" w:w="288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Role / Designation</w:t>
            </w:r>
          </w:p>
        </w:tc>
        <w:tc>
          <w:tcPr>
            <w:tcW w:type="dxa" w:w="316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Name &amp; Title</w:t>
            </w:r>
          </w:p>
        </w:tc>
        <w:tc>
          <w:tcPr>
            <w:tcW w:type="dxa" w:w="288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Signature &amp; Date</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Project Supervisor</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Dr. / Prof. Project Advisor</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____________________</w:t>
            </w:r>
          </w:p>
        </w:tc>
      </w:tr>
      <w:tr>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Internal Committee Member</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Prof. Senior Evaluator</w:t>
            </w:r>
          </w:p>
        </w:tc>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____________________</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Head of Department</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Chairperson, Computer Science</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____________________</w:t>
            </w:r>
          </w:p>
        </w:tc>
      </w:tr>
    </w:tbl>
    <w:p>
      <w:pPr>
        <w:spacing w:after="240"/>
      </w:pPr>
    </w:p>
    <w:p>
      <w:pPr>
        <w:spacing w:before="280" w:after="120" w:line="360" w:lineRule="auto"/>
        <w:jc w:val="left"/>
      </w:pPr>
      <w:r>
        <w:rPr>
          <w:rFonts w:ascii="Times New Roman" w:hAnsi="Times New Roman"/>
          <w:b/>
          <w:color w:val="1A365D"/>
          <w:sz w:val="32"/>
        </w:rPr>
        <w:t>Executive Summary &amp; Abstract</w:t>
      </w:r>
    </w:p>
    <w:p>
      <w:pPr>
        <w:spacing w:before="0" w:after="120" w:line="360" w:lineRule="auto"/>
        <w:jc w:val="both"/>
      </w:pPr>
      <w:r>
        <w:rPr>
          <w:rFonts w:ascii="Times New Roman" w:hAnsi="Times New Roman"/>
          <w:sz w:val="24"/>
        </w:rPr>
        <w:t>The Peshawari Chappal is an internationally revered cultural footwear staple handcrafted in Khyber Pakhtunkhwa, Pakistan. Despite its tremendous commercial demand across domestic and diaspora markets, contemporary digital commerce experiences for authentic artisanal footwear suffer from four crippling systemic bottlenecks: (1) high return rates (exceeding 32%) triggered by non-standardized artisanal sizing variances across bespoke master craftsmen; (2) consumer reluctance resulting from flat, static 2D product imagery lacking spatial leather texture visualization; (3) operational friction in catalog listing requiring manual artisanal metadata composition; and (4) severe financial opacity in small-scale craft manufacturing where raw material procurement capital is inextricably tangled with consumer cash flows.</w:t>
      </w:r>
    </w:p>
    <w:p>
      <w:pPr>
        <w:spacing w:before="0" w:after="120" w:line="360" w:lineRule="auto"/>
        <w:jc w:val="both"/>
      </w:pPr>
      <w:r>
        <w:rPr>
          <w:rFonts w:ascii="Times New Roman" w:hAnsi="Times New Roman"/>
          <w:sz w:val="24"/>
        </w:rPr>
        <w:t>This project introduces a state-of-the-art, enterprise-grade e-commerce web platform engineered using the MERN stack (MongoDB Atlas, Express.js, React 19, Node.js) paired with client-side Three.js depth-extruded 3D geometry customization, OpenCV-based homography-calibrated A4 paper foot measurement, virtual outfit color palette intelligence, and an automated multi-tier generative AI cataloging cascade powered by Google Gemini 3.6 Flash and the Experiential Labs AI Gateway. Furthermore, the platform establishes an isolated Double-Tier Capital Ledger that guarantees complete mathematical separation between live customer order revenue and supplier inventory capital allocations, delivering a robust, end-to-end digital ecosystem for cultural footwear preservation and scalable commerce.</w:t>
      </w:r>
    </w:p>
    <w:p>
      <w:r>
        <w:br w:type="page"/>
      </w:r>
    </w:p>
    <w:p>
      <w:pPr>
        <w:spacing w:before="280" w:after="120" w:line="360" w:lineRule="auto"/>
        <w:jc w:val="left"/>
      </w:pPr>
      <w:r>
        <w:rPr>
          <w:rFonts w:ascii="Times New Roman" w:hAnsi="Times New Roman"/>
          <w:b/>
          <w:color w:val="1A365D"/>
          <w:sz w:val="32"/>
        </w:rPr>
        <w:t>Table of Contents</w:t>
      </w:r>
    </w:p>
    <w:p>
      <w:pPr>
        <w:spacing w:line="312" w:lineRule="auto" w:before="20" w:after="20"/>
      </w:pPr>
      <w:r>
        <w:rPr>
          <w:rFonts w:ascii="Times New Roman" w:hAnsi="Times New Roman"/>
          <w:b/>
          <w:color w:val="1A365D"/>
          <w:sz w:val="22"/>
        </w:rPr>
        <w:t>Chapter 1: Introduction</w:t>
      </w:r>
      <w:r>
        <w:rPr>
          <w:rFonts w:ascii="Times New Roman" w:hAnsi="Times New Roman"/>
          <w:color w:val="CBD5E0"/>
          <w:sz w:val="20"/>
        </w:rPr>
        <w:t xml:space="preserve"> .................................. </w:t>
      </w:r>
      <w:r>
        <w:rPr>
          <w:rFonts w:ascii="Times New Roman" w:hAnsi="Times New Roman"/>
          <w:b/>
          <w:sz w:val="22"/>
        </w:rPr>
        <w:t>4</w:t>
      </w:r>
    </w:p>
    <w:p>
      <w:pPr>
        <w:spacing w:line="312" w:lineRule="auto" w:before="20" w:after="20"/>
      </w:pPr>
      <w:r>
        <w:rPr>
          <w:rFonts w:ascii="Times New Roman" w:hAnsi="Times New Roman"/>
          <w:sz w:val="22"/>
        </w:rPr>
        <w:t xml:space="preserve">   1.1 Purpose of the Document</w:t>
      </w:r>
      <w:r>
        <w:rPr>
          <w:rFonts w:ascii="Times New Roman" w:hAnsi="Times New Roman"/>
          <w:color w:val="CBD5E0"/>
          <w:sz w:val="20"/>
        </w:rPr>
        <w:t xml:space="preserve"> .................... </w:t>
      </w:r>
      <w:r>
        <w:rPr>
          <w:rFonts w:ascii="Times New Roman" w:hAnsi="Times New Roman"/>
          <w:b/>
          <w:sz w:val="22"/>
        </w:rPr>
        <w:t>4</w:t>
      </w:r>
    </w:p>
    <w:p>
      <w:pPr>
        <w:spacing w:line="312" w:lineRule="auto" w:before="20" w:after="20"/>
      </w:pPr>
      <w:r>
        <w:rPr>
          <w:rFonts w:ascii="Times New Roman" w:hAnsi="Times New Roman"/>
          <w:sz w:val="22"/>
        </w:rPr>
        <w:t xml:space="preserve">   1.2 Scope of the System</w:t>
      </w:r>
      <w:r>
        <w:rPr>
          <w:rFonts w:ascii="Times New Roman" w:hAnsi="Times New Roman"/>
          <w:color w:val="CBD5E0"/>
          <w:sz w:val="20"/>
        </w:rPr>
        <w:t xml:space="preserve"> ............................ </w:t>
      </w:r>
      <w:r>
        <w:rPr>
          <w:rFonts w:ascii="Times New Roman" w:hAnsi="Times New Roman"/>
          <w:b/>
          <w:sz w:val="22"/>
        </w:rPr>
        <w:t>4</w:t>
      </w:r>
    </w:p>
    <w:p>
      <w:pPr>
        <w:spacing w:line="312" w:lineRule="auto" w:before="20" w:after="20"/>
      </w:pPr>
      <w:r>
        <w:rPr>
          <w:rFonts w:ascii="Times New Roman" w:hAnsi="Times New Roman"/>
          <w:sz w:val="22"/>
        </w:rPr>
        <w:t xml:space="preserve">   1.3 Problem Statement &amp; Industry Context</w:t>
      </w:r>
      <w:r>
        <w:rPr>
          <w:rFonts w:ascii="Times New Roman" w:hAnsi="Times New Roman"/>
          <w:color w:val="CBD5E0"/>
          <w:sz w:val="20"/>
        </w:rPr>
        <w:t xml:space="preserve">  </w:t>
      </w:r>
      <w:r>
        <w:rPr>
          <w:rFonts w:ascii="Times New Roman" w:hAnsi="Times New Roman"/>
          <w:b/>
          <w:sz w:val="22"/>
        </w:rPr>
        <w:t>5</w:t>
      </w:r>
    </w:p>
    <w:p>
      <w:pPr>
        <w:spacing w:line="312" w:lineRule="auto" w:before="20" w:after="20"/>
      </w:pPr>
      <w:r>
        <w:rPr>
          <w:rFonts w:ascii="Times New Roman" w:hAnsi="Times New Roman"/>
          <w:sz w:val="22"/>
        </w:rPr>
        <w:t xml:space="preserve">   1.4 Stakeholder &amp; User Profiles</w:t>
      </w:r>
      <w:r>
        <w:rPr>
          <w:rFonts w:ascii="Times New Roman" w:hAnsi="Times New Roman"/>
          <w:color w:val="CBD5E0"/>
          <w:sz w:val="20"/>
        </w:rPr>
        <w:t xml:space="preserve"> ............ </w:t>
      </w:r>
      <w:r>
        <w:rPr>
          <w:rFonts w:ascii="Times New Roman" w:hAnsi="Times New Roman"/>
          <w:b/>
          <w:sz w:val="22"/>
        </w:rPr>
        <w:t>5</w:t>
      </w:r>
    </w:p>
    <w:p>
      <w:pPr>
        <w:spacing w:line="312" w:lineRule="auto" w:before="20" w:after="20"/>
      </w:pPr>
      <w:r>
        <w:rPr>
          <w:rFonts w:ascii="Times New Roman" w:hAnsi="Times New Roman"/>
          <w:sz w:val="22"/>
        </w:rPr>
        <w:t xml:space="preserve">   1.5 Definitions, Acronyms, and Abbreviations</w:t>
      </w:r>
      <w:r>
        <w:rPr>
          <w:rFonts w:ascii="Times New Roman" w:hAnsi="Times New Roman"/>
          <w:color w:val="CBD5E0"/>
          <w:sz w:val="20"/>
        </w:rPr>
        <w:t xml:space="preserve">  </w:t>
      </w:r>
      <w:r>
        <w:rPr>
          <w:rFonts w:ascii="Times New Roman" w:hAnsi="Times New Roman"/>
          <w:b/>
          <w:sz w:val="22"/>
        </w:rPr>
        <w:t>6</w:t>
      </w:r>
    </w:p>
    <w:p>
      <w:pPr>
        <w:spacing w:line="312" w:lineRule="auto" w:before="20" w:after="20"/>
      </w:pPr>
      <w:r>
        <w:rPr>
          <w:rFonts w:ascii="Times New Roman" w:hAnsi="Times New Roman"/>
          <w:sz w:val="22"/>
        </w:rPr>
        <w:t xml:space="preserve">   1.6 Document Conventions &amp; References</w:t>
      </w:r>
      <w:r>
        <w:rPr>
          <w:rFonts w:ascii="Times New Roman" w:hAnsi="Times New Roman"/>
          <w:color w:val="CBD5E0"/>
          <w:sz w:val="20"/>
        </w:rPr>
        <w:t xml:space="preserve">  </w:t>
      </w:r>
      <w:r>
        <w:rPr>
          <w:rFonts w:ascii="Times New Roman" w:hAnsi="Times New Roman"/>
          <w:b/>
          <w:sz w:val="22"/>
        </w:rPr>
        <w:t>6</w:t>
      </w:r>
    </w:p>
    <w:p>
      <w:pPr>
        <w:spacing w:line="312" w:lineRule="auto" w:before="20" w:after="20"/>
      </w:pPr>
      <w:r>
        <w:rPr>
          <w:rFonts w:ascii="Times New Roman" w:hAnsi="Times New Roman"/>
          <w:b/>
          <w:color w:val="1A365D"/>
          <w:sz w:val="22"/>
        </w:rPr>
        <w:t>Chapter 2: Overall System Description</w:t>
      </w:r>
      <w:r>
        <w:rPr>
          <w:rFonts w:ascii="Times New Roman" w:hAnsi="Times New Roman"/>
          <w:color w:val="CBD5E0"/>
          <w:sz w:val="20"/>
        </w:rPr>
        <w:t xml:space="preserve"> ...... </w:t>
      </w:r>
      <w:r>
        <w:rPr>
          <w:rFonts w:ascii="Times New Roman" w:hAnsi="Times New Roman"/>
          <w:b/>
          <w:sz w:val="22"/>
        </w:rPr>
        <w:t>7</w:t>
      </w:r>
    </w:p>
    <w:p>
      <w:pPr>
        <w:spacing w:line="312" w:lineRule="auto" w:before="20" w:after="20"/>
      </w:pPr>
      <w:r>
        <w:rPr>
          <w:rFonts w:ascii="Times New Roman" w:hAnsi="Times New Roman"/>
          <w:sz w:val="22"/>
        </w:rPr>
        <w:t xml:space="preserve">   2.1 Product Perspective &amp; Context</w:t>
      </w:r>
      <w:r>
        <w:rPr>
          <w:rFonts w:ascii="Times New Roman" w:hAnsi="Times New Roman"/>
          <w:color w:val="CBD5E0"/>
          <w:sz w:val="20"/>
        </w:rPr>
        <w:t xml:space="preserve"> ........ </w:t>
      </w:r>
      <w:r>
        <w:rPr>
          <w:rFonts w:ascii="Times New Roman" w:hAnsi="Times New Roman"/>
          <w:b/>
          <w:sz w:val="22"/>
        </w:rPr>
        <w:t>7</w:t>
      </w:r>
    </w:p>
    <w:p>
      <w:pPr>
        <w:spacing w:line="312" w:lineRule="auto" w:before="20" w:after="20"/>
      </w:pPr>
      <w:r>
        <w:rPr>
          <w:rFonts w:ascii="Times New Roman" w:hAnsi="Times New Roman"/>
          <w:sz w:val="22"/>
        </w:rPr>
        <w:t xml:space="preserve">   2.2 System Interfaces &amp; Hardware/Software Dependencies</w:t>
      </w:r>
      <w:r>
        <w:rPr>
          <w:rFonts w:ascii="Times New Roman" w:hAnsi="Times New Roman"/>
          <w:color w:val="CBD5E0"/>
          <w:sz w:val="20"/>
        </w:rPr>
        <w:t xml:space="preserve">  </w:t>
      </w:r>
      <w:r>
        <w:rPr>
          <w:rFonts w:ascii="Times New Roman" w:hAnsi="Times New Roman"/>
          <w:b/>
          <w:sz w:val="22"/>
        </w:rPr>
        <w:t>7</w:t>
      </w:r>
    </w:p>
    <w:p>
      <w:pPr>
        <w:spacing w:line="312" w:lineRule="auto" w:before="20" w:after="20"/>
      </w:pPr>
      <w:r>
        <w:rPr>
          <w:rFonts w:ascii="Times New Roman" w:hAnsi="Times New Roman"/>
          <w:sz w:val="22"/>
        </w:rPr>
        <w:t xml:space="preserve">   2.3 User Characteristics &amp; Operational Roles</w:t>
      </w:r>
      <w:r>
        <w:rPr>
          <w:rFonts w:ascii="Times New Roman" w:hAnsi="Times New Roman"/>
          <w:color w:val="CBD5E0"/>
          <w:sz w:val="20"/>
        </w:rPr>
        <w:t xml:space="preserve">  </w:t>
      </w:r>
      <w:r>
        <w:rPr>
          <w:rFonts w:ascii="Times New Roman" w:hAnsi="Times New Roman"/>
          <w:b/>
          <w:sz w:val="22"/>
        </w:rPr>
        <w:t>8</w:t>
      </w:r>
    </w:p>
    <w:p>
      <w:pPr>
        <w:spacing w:line="312" w:lineRule="auto" w:before="20" w:after="20"/>
      </w:pPr>
      <w:r>
        <w:rPr>
          <w:rFonts w:ascii="Times New Roman" w:hAnsi="Times New Roman"/>
          <w:sz w:val="22"/>
        </w:rPr>
        <w:t xml:space="preserve">   2.4 Operating Environment &amp; Technology Stack Specifications</w:t>
      </w:r>
      <w:r>
        <w:rPr>
          <w:rFonts w:ascii="Times New Roman" w:hAnsi="Times New Roman"/>
          <w:color w:val="CBD5E0"/>
          <w:sz w:val="20"/>
        </w:rPr>
        <w:t xml:space="preserve">  </w:t>
      </w:r>
      <w:r>
        <w:rPr>
          <w:rFonts w:ascii="Times New Roman" w:hAnsi="Times New Roman"/>
          <w:b/>
          <w:sz w:val="22"/>
        </w:rPr>
        <w:t>8</w:t>
      </w:r>
    </w:p>
    <w:p>
      <w:pPr>
        <w:spacing w:line="312" w:lineRule="auto" w:before="20" w:after="20"/>
      </w:pPr>
      <w:r>
        <w:rPr>
          <w:rFonts w:ascii="Times New Roman" w:hAnsi="Times New Roman"/>
          <w:sz w:val="22"/>
        </w:rPr>
        <w:t xml:space="preserve">   2.5 Design &amp; Implementation Constraints</w:t>
      </w:r>
      <w:r>
        <w:rPr>
          <w:rFonts w:ascii="Times New Roman" w:hAnsi="Times New Roman"/>
          <w:color w:val="CBD5E0"/>
          <w:sz w:val="20"/>
        </w:rPr>
        <w:t xml:space="preserve">  </w:t>
      </w:r>
      <w:r>
        <w:rPr>
          <w:rFonts w:ascii="Times New Roman" w:hAnsi="Times New Roman"/>
          <w:b/>
          <w:sz w:val="22"/>
        </w:rPr>
        <w:t>9</w:t>
      </w:r>
    </w:p>
    <w:p>
      <w:pPr>
        <w:spacing w:line="312" w:lineRule="auto" w:before="20" w:after="20"/>
      </w:pPr>
      <w:r>
        <w:rPr>
          <w:rFonts w:ascii="Times New Roman" w:hAnsi="Times New Roman"/>
          <w:sz w:val="22"/>
        </w:rPr>
        <w:t xml:space="preserve">   2.6 Assumptions &amp; Operational Dependencies</w:t>
      </w:r>
      <w:r>
        <w:rPr>
          <w:rFonts w:ascii="Times New Roman" w:hAnsi="Times New Roman"/>
          <w:color w:val="CBD5E0"/>
          <w:sz w:val="20"/>
        </w:rPr>
        <w:t xml:space="preserve">  </w:t>
      </w:r>
      <w:r>
        <w:rPr>
          <w:rFonts w:ascii="Times New Roman" w:hAnsi="Times New Roman"/>
          <w:b/>
          <w:sz w:val="22"/>
        </w:rPr>
        <w:t>10</w:t>
      </w:r>
    </w:p>
    <w:p>
      <w:pPr>
        <w:spacing w:line="312" w:lineRule="auto" w:before="20" w:after="20"/>
      </w:pPr>
      <w:r>
        <w:rPr>
          <w:rFonts w:ascii="Times New Roman" w:hAnsi="Times New Roman"/>
          <w:b/>
          <w:color w:val="1A365D"/>
          <w:sz w:val="22"/>
        </w:rPr>
        <w:t>Chapter 3: System Architecture &amp; Data Flow Modeling</w:t>
      </w:r>
      <w:r>
        <w:rPr>
          <w:rFonts w:ascii="Times New Roman" w:hAnsi="Times New Roman"/>
          <w:color w:val="CBD5E0"/>
          <w:sz w:val="20"/>
        </w:rPr>
        <w:t xml:space="preserve">  </w:t>
      </w:r>
      <w:r>
        <w:rPr>
          <w:rFonts w:ascii="Times New Roman" w:hAnsi="Times New Roman"/>
          <w:b/>
          <w:sz w:val="22"/>
        </w:rPr>
        <w:t>11</w:t>
      </w:r>
    </w:p>
    <w:p>
      <w:pPr>
        <w:spacing w:line="312" w:lineRule="auto" w:before="20" w:after="20"/>
      </w:pPr>
      <w:r>
        <w:rPr>
          <w:rFonts w:ascii="Times New Roman" w:hAnsi="Times New Roman"/>
          <w:sz w:val="22"/>
        </w:rPr>
        <w:t xml:space="preserve">   3.1 Multi-Tier System Architecture Model (Figure 1)</w:t>
      </w:r>
      <w:r>
        <w:rPr>
          <w:rFonts w:ascii="Times New Roman" w:hAnsi="Times New Roman"/>
          <w:color w:val="CBD5E0"/>
          <w:sz w:val="20"/>
        </w:rPr>
        <w:t xml:space="preserve">  </w:t>
      </w:r>
      <w:r>
        <w:rPr>
          <w:rFonts w:ascii="Times New Roman" w:hAnsi="Times New Roman"/>
          <w:b/>
          <w:sz w:val="22"/>
        </w:rPr>
        <w:t>11</w:t>
      </w:r>
    </w:p>
    <w:p>
      <w:pPr>
        <w:spacing w:line="312" w:lineRule="auto" w:before="20" w:after="20"/>
      </w:pPr>
      <w:r>
        <w:rPr>
          <w:rFonts w:ascii="Times New Roman" w:hAnsi="Times New Roman"/>
          <w:sz w:val="22"/>
        </w:rPr>
        <w:t xml:space="preserve">   3.2 Data Flow Diagram Level 0: Context Diagram (Figure 2)</w:t>
      </w:r>
      <w:r>
        <w:rPr>
          <w:rFonts w:ascii="Times New Roman" w:hAnsi="Times New Roman"/>
          <w:color w:val="CBD5E0"/>
          <w:sz w:val="20"/>
        </w:rPr>
        <w:t xml:space="preserve">  </w:t>
      </w:r>
      <w:r>
        <w:rPr>
          <w:rFonts w:ascii="Times New Roman" w:hAnsi="Times New Roman"/>
          <w:b/>
          <w:sz w:val="22"/>
        </w:rPr>
        <w:t>12</w:t>
      </w:r>
    </w:p>
    <w:p>
      <w:pPr>
        <w:spacing w:line="312" w:lineRule="auto" w:before="20" w:after="20"/>
      </w:pPr>
      <w:r>
        <w:rPr>
          <w:rFonts w:ascii="Times New Roman" w:hAnsi="Times New Roman"/>
          <w:sz w:val="22"/>
        </w:rPr>
        <w:t xml:space="preserve">   3.3 Data Flow Diagram Level 1: Core Process Decomposition (Figure 3)</w:t>
      </w:r>
      <w:r>
        <w:rPr>
          <w:rFonts w:ascii="Times New Roman" w:hAnsi="Times New Roman"/>
          <w:color w:val="CBD5E0"/>
          <w:sz w:val="20"/>
        </w:rPr>
        <w:t xml:space="preserve">  </w:t>
      </w:r>
      <w:r>
        <w:rPr>
          <w:rFonts w:ascii="Times New Roman" w:hAnsi="Times New Roman"/>
          <w:b/>
          <w:sz w:val="22"/>
        </w:rPr>
        <w:t>13</w:t>
      </w:r>
    </w:p>
    <w:p>
      <w:pPr>
        <w:spacing w:line="312" w:lineRule="auto" w:before="20" w:after="20"/>
      </w:pPr>
      <w:r>
        <w:rPr>
          <w:rFonts w:ascii="Times New Roman" w:hAnsi="Times New Roman"/>
          <w:sz w:val="22"/>
        </w:rPr>
        <w:t xml:space="preserve">   3.4 Data Flow Diagram Level 2: AI Multimodal Foot Sizing Subsystem (Figure 4)</w:t>
      </w:r>
      <w:r>
        <w:rPr>
          <w:rFonts w:ascii="Times New Roman" w:hAnsi="Times New Roman"/>
          <w:color w:val="CBD5E0"/>
          <w:sz w:val="20"/>
        </w:rPr>
        <w:t xml:space="preserve">  </w:t>
      </w:r>
      <w:r>
        <w:rPr>
          <w:rFonts w:ascii="Times New Roman" w:hAnsi="Times New Roman"/>
          <w:b/>
          <w:sz w:val="22"/>
        </w:rPr>
        <w:t>14</w:t>
      </w:r>
    </w:p>
    <w:p>
      <w:pPr>
        <w:spacing w:line="312" w:lineRule="auto" w:before="20" w:after="20"/>
      </w:pPr>
      <w:r>
        <w:rPr>
          <w:rFonts w:ascii="Times New Roman" w:hAnsi="Times New Roman"/>
          <w:sz w:val="22"/>
        </w:rPr>
        <w:t xml:space="preserve">   3.5 Dual-Tier Storage &amp; File System Persistence Architecture</w:t>
      </w:r>
      <w:r>
        <w:rPr>
          <w:rFonts w:ascii="Times New Roman" w:hAnsi="Times New Roman"/>
          <w:color w:val="CBD5E0"/>
          <w:sz w:val="20"/>
        </w:rPr>
        <w:t xml:space="preserve">  </w:t>
      </w:r>
      <w:r>
        <w:rPr>
          <w:rFonts w:ascii="Times New Roman" w:hAnsi="Times New Roman"/>
          <w:b/>
          <w:sz w:val="22"/>
        </w:rPr>
        <w:t>15</w:t>
      </w:r>
    </w:p>
    <w:p>
      <w:pPr>
        <w:spacing w:line="312" w:lineRule="auto" w:before="20" w:after="20"/>
      </w:pPr>
      <w:r>
        <w:rPr>
          <w:rFonts w:ascii="Times New Roman" w:hAnsi="Times New Roman"/>
          <w:b/>
          <w:color w:val="1A365D"/>
          <w:sz w:val="22"/>
        </w:rPr>
        <w:t>Chapter 4: Use Case Analysis &amp; Functional Requirements</w:t>
      </w:r>
      <w:r>
        <w:rPr>
          <w:rFonts w:ascii="Times New Roman" w:hAnsi="Times New Roman"/>
          <w:color w:val="CBD5E0"/>
          <w:sz w:val="20"/>
        </w:rPr>
        <w:t xml:space="preserve">  </w:t>
      </w:r>
      <w:r>
        <w:rPr>
          <w:rFonts w:ascii="Times New Roman" w:hAnsi="Times New Roman"/>
          <w:b/>
          <w:sz w:val="22"/>
        </w:rPr>
        <w:t>16</w:t>
      </w:r>
    </w:p>
    <w:p>
      <w:pPr>
        <w:spacing w:line="312" w:lineRule="auto" w:before="20" w:after="20"/>
      </w:pPr>
      <w:r>
        <w:rPr>
          <w:rFonts w:ascii="Times New Roman" w:hAnsi="Times New Roman"/>
          <w:sz w:val="22"/>
        </w:rPr>
        <w:t xml:space="preserve">   4.1 UML Use Case Diagram (Figure 5)</w:t>
      </w:r>
      <w:r>
        <w:rPr>
          <w:rFonts w:ascii="Times New Roman" w:hAnsi="Times New Roman"/>
          <w:color w:val="CBD5E0"/>
          <w:sz w:val="20"/>
        </w:rPr>
        <w:t xml:space="preserve"> .... </w:t>
      </w:r>
      <w:r>
        <w:rPr>
          <w:rFonts w:ascii="Times New Roman" w:hAnsi="Times New Roman"/>
          <w:b/>
          <w:sz w:val="22"/>
        </w:rPr>
        <w:t>16</w:t>
      </w:r>
    </w:p>
    <w:p>
      <w:pPr>
        <w:spacing w:line="312" w:lineRule="auto" w:before="20" w:after="20"/>
      </w:pPr>
      <w:r>
        <w:rPr>
          <w:rFonts w:ascii="Times New Roman" w:hAnsi="Times New Roman"/>
          <w:sz w:val="22"/>
        </w:rPr>
        <w:t xml:space="preserve">   4.2 Exhaustive Use Case Specifications (UC-01 to UC-10)</w:t>
      </w:r>
      <w:r>
        <w:rPr>
          <w:rFonts w:ascii="Times New Roman" w:hAnsi="Times New Roman"/>
          <w:color w:val="CBD5E0"/>
          <w:sz w:val="20"/>
        </w:rPr>
        <w:t xml:space="preserve">  </w:t>
      </w:r>
      <w:r>
        <w:rPr>
          <w:rFonts w:ascii="Times New Roman" w:hAnsi="Times New Roman"/>
          <w:b/>
          <w:sz w:val="22"/>
        </w:rPr>
        <w:t>17</w:t>
      </w:r>
    </w:p>
    <w:p>
      <w:pPr>
        <w:spacing w:line="312" w:lineRule="auto" w:before="20" w:after="20"/>
      </w:pPr>
      <w:r>
        <w:rPr>
          <w:rFonts w:ascii="Times New Roman" w:hAnsi="Times New Roman"/>
          <w:sz w:val="22"/>
        </w:rPr>
        <w:t xml:space="preserve">   4.3 Functional Requirements Catalog (FR-01 to FR-35)</w:t>
      </w:r>
      <w:r>
        <w:rPr>
          <w:rFonts w:ascii="Times New Roman" w:hAnsi="Times New Roman"/>
          <w:color w:val="CBD5E0"/>
          <w:sz w:val="20"/>
        </w:rPr>
        <w:t xml:space="preserve">  </w:t>
      </w:r>
      <w:r>
        <w:rPr>
          <w:rFonts w:ascii="Times New Roman" w:hAnsi="Times New Roman"/>
          <w:b/>
          <w:sz w:val="22"/>
        </w:rPr>
        <w:t>20</w:t>
      </w:r>
    </w:p>
    <w:p>
      <w:pPr>
        <w:spacing w:line="312" w:lineRule="auto" w:before="20" w:after="20"/>
      </w:pPr>
      <w:r>
        <w:rPr>
          <w:rFonts w:ascii="Times New Roman" w:hAnsi="Times New Roman"/>
          <w:b/>
          <w:color w:val="1A365D"/>
          <w:sz w:val="22"/>
        </w:rPr>
        <w:t>Chapter 5: Data Design &amp; Entity-Relationship Specifications</w:t>
      </w:r>
      <w:r>
        <w:rPr>
          <w:rFonts w:ascii="Times New Roman" w:hAnsi="Times New Roman"/>
          <w:color w:val="CBD5E0"/>
          <w:sz w:val="20"/>
        </w:rPr>
        <w:t xml:space="preserve">  </w:t>
      </w:r>
      <w:r>
        <w:rPr>
          <w:rFonts w:ascii="Times New Roman" w:hAnsi="Times New Roman"/>
          <w:b/>
          <w:sz w:val="22"/>
        </w:rPr>
        <w:t>24</w:t>
      </w:r>
    </w:p>
    <w:p>
      <w:pPr>
        <w:spacing w:line="312" w:lineRule="auto" w:before="20" w:after="20"/>
      </w:pPr>
      <w:r>
        <w:rPr>
          <w:rFonts w:ascii="Times New Roman" w:hAnsi="Times New Roman"/>
          <w:sz w:val="22"/>
        </w:rPr>
        <w:t xml:space="preserve">   5.1 Entity-Relationship Diagram (Figure 6)</w:t>
      </w:r>
      <w:r>
        <w:rPr>
          <w:rFonts w:ascii="Times New Roman" w:hAnsi="Times New Roman"/>
          <w:color w:val="CBD5E0"/>
          <w:sz w:val="20"/>
        </w:rPr>
        <w:t xml:space="preserve">  </w:t>
      </w:r>
      <w:r>
        <w:rPr>
          <w:rFonts w:ascii="Times New Roman" w:hAnsi="Times New Roman"/>
          <w:b/>
          <w:sz w:val="22"/>
        </w:rPr>
        <w:t>24</w:t>
      </w:r>
    </w:p>
    <w:p>
      <w:pPr>
        <w:spacing w:line="312" w:lineRule="auto" w:before="20" w:after="20"/>
      </w:pPr>
      <w:r>
        <w:rPr>
          <w:rFonts w:ascii="Times New Roman" w:hAnsi="Times New Roman"/>
          <w:sz w:val="22"/>
        </w:rPr>
        <w:t xml:space="preserve">   5.2 Conceptual Data Model &amp; Relational Mappings</w:t>
      </w:r>
      <w:r>
        <w:rPr>
          <w:rFonts w:ascii="Times New Roman" w:hAnsi="Times New Roman"/>
          <w:color w:val="CBD5E0"/>
          <w:sz w:val="20"/>
        </w:rPr>
        <w:t xml:space="preserve">  </w:t>
      </w:r>
      <w:r>
        <w:rPr>
          <w:rFonts w:ascii="Times New Roman" w:hAnsi="Times New Roman"/>
          <w:b/>
          <w:sz w:val="22"/>
        </w:rPr>
        <w:t>25</w:t>
      </w:r>
    </w:p>
    <w:p>
      <w:pPr>
        <w:spacing w:line="312" w:lineRule="auto" w:before="20" w:after="20"/>
      </w:pPr>
      <w:r>
        <w:rPr>
          <w:rFonts w:ascii="Times New Roman" w:hAnsi="Times New Roman"/>
          <w:sz w:val="22"/>
        </w:rPr>
        <w:t xml:space="preserve">   5.3 Complete Database Data Dictionaries</w:t>
      </w:r>
      <w:r>
        <w:rPr>
          <w:rFonts w:ascii="Times New Roman" w:hAnsi="Times New Roman"/>
          <w:color w:val="CBD5E0"/>
          <w:sz w:val="20"/>
        </w:rPr>
        <w:t xml:space="preserve">  </w:t>
      </w:r>
      <w:r>
        <w:rPr>
          <w:rFonts w:ascii="Times New Roman" w:hAnsi="Times New Roman"/>
          <w:b/>
          <w:sz w:val="22"/>
        </w:rPr>
        <w:t>26</w:t>
      </w:r>
    </w:p>
    <w:p>
      <w:pPr>
        <w:spacing w:line="312" w:lineRule="auto" w:before="20" w:after="20"/>
      </w:pPr>
      <w:r>
        <w:rPr>
          <w:rFonts w:ascii="Times New Roman" w:hAnsi="Times New Roman"/>
          <w:b/>
          <w:color w:val="1A365D"/>
          <w:sz w:val="22"/>
        </w:rPr>
        <w:t>Chapter 6: Dynamic Interaction &amp; Sequence Modeling</w:t>
      </w:r>
      <w:r>
        <w:rPr>
          <w:rFonts w:ascii="Times New Roman" w:hAnsi="Times New Roman"/>
          <w:color w:val="CBD5E0"/>
          <w:sz w:val="20"/>
        </w:rPr>
        <w:t xml:space="preserve">  </w:t>
      </w:r>
      <w:r>
        <w:rPr>
          <w:rFonts w:ascii="Times New Roman" w:hAnsi="Times New Roman"/>
          <w:b/>
          <w:sz w:val="22"/>
        </w:rPr>
        <w:t>29</w:t>
      </w:r>
    </w:p>
    <w:p>
      <w:pPr>
        <w:spacing w:line="312" w:lineRule="auto" w:before="20" w:after="20"/>
      </w:pPr>
      <w:r>
        <w:rPr>
          <w:rFonts w:ascii="Times New Roman" w:hAnsi="Times New Roman"/>
          <w:sz w:val="22"/>
        </w:rPr>
        <w:t xml:space="preserve">   6.1 Sequence Diagram: Multimodal AI Auto-Fill Cascade (Figure 7)</w:t>
      </w:r>
      <w:r>
        <w:rPr>
          <w:rFonts w:ascii="Times New Roman" w:hAnsi="Times New Roman"/>
          <w:color w:val="CBD5E0"/>
          <w:sz w:val="20"/>
        </w:rPr>
        <w:t xml:space="preserve">  </w:t>
      </w:r>
      <w:r>
        <w:rPr>
          <w:rFonts w:ascii="Times New Roman" w:hAnsi="Times New Roman"/>
          <w:b/>
          <w:sz w:val="22"/>
        </w:rPr>
        <w:t>29</w:t>
      </w:r>
    </w:p>
    <w:p>
      <w:pPr>
        <w:spacing w:line="312" w:lineRule="auto" w:before="20" w:after="20"/>
      </w:pPr>
      <w:r>
        <w:rPr>
          <w:rFonts w:ascii="Times New Roman" w:hAnsi="Times New Roman"/>
          <w:sz w:val="22"/>
        </w:rPr>
        <w:t xml:space="preserve">   6.2 Sequence Diagram: Customer Order Checkout &amp; Fulfillment (Figure 8)</w:t>
      </w:r>
      <w:r>
        <w:rPr>
          <w:rFonts w:ascii="Times New Roman" w:hAnsi="Times New Roman"/>
          <w:color w:val="CBD5E0"/>
          <w:sz w:val="20"/>
        </w:rPr>
        <w:t xml:space="preserve">  </w:t>
      </w:r>
      <w:r>
        <w:rPr>
          <w:rFonts w:ascii="Times New Roman" w:hAnsi="Times New Roman"/>
          <w:b/>
          <w:sz w:val="22"/>
        </w:rPr>
        <w:t>30</w:t>
      </w:r>
    </w:p>
    <w:p>
      <w:pPr>
        <w:spacing w:line="312" w:lineRule="auto" w:before="20" w:after="20"/>
      </w:pPr>
      <w:r>
        <w:rPr>
          <w:rFonts w:ascii="Times New Roman" w:hAnsi="Times New Roman"/>
          <w:b/>
          <w:color w:val="1A365D"/>
          <w:sz w:val="22"/>
        </w:rPr>
        <w:t>Chapter 7: Non-Functional Requirements &amp; System Qualities</w:t>
      </w:r>
      <w:r>
        <w:rPr>
          <w:rFonts w:ascii="Times New Roman" w:hAnsi="Times New Roman"/>
          <w:color w:val="CBD5E0"/>
          <w:sz w:val="20"/>
        </w:rPr>
        <w:t xml:space="preserve">  </w:t>
      </w:r>
      <w:r>
        <w:rPr>
          <w:rFonts w:ascii="Times New Roman" w:hAnsi="Times New Roman"/>
          <w:b/>
          <w:sz w:val="22"/>
        </w:rPr>
        <w:t>31</w:t>
      </w:r>
    </w:p>
    <w:p>
      <w:pPr>
        <w:spacing w:line="312" w:lineRule="auto" w:before="20" w:after="20"/>
      </w:pPr>
      <w:r>
        <w:rPr>
          <w:rFonts w:ascii="Times New Roman" w:hAnsi="Times New Roman"/>
          <w:sz w:val="22"/>
        </w:rPr>
        <w:t xml:space="preserve">   7.1 Performance, Concurrency &amp; Latency Benchmarks</w:t>
      </w:r>
      <w:r>
        <w:rPr>
          <w:rFonts w:ascii="Times New Roman" w:hAnsi="Times New Roman"/>
          <w:color w:val="CBD5E0"/>
          <w:sz w:val="20"/>
        </w:rPr>
        <w:t xml:space="preserve">  </w:t>
      </w:r>
      <w:r>
        <w:rPr>
          <w:rFonts w:ascii="Times New Roman" w:hAnsi="Times New Roman"/>
          <w:b/>
          <w:sz w:val="22"/>
        </w:rPr>
        <w:t>31</w:t>
      </w:r>
    </w:p>
    <w:p>
      <w:pPr>
        <w:spacing w:line="312" w:lineRule="auto" w:before="20" w:after="20"/>
      </w:pPr>
      <w:r>
        <w:rPr>
          <w:rFonts w:ascii="Times New Roman" w:hAnsi="Times New Roman"/>
          <w:sz w:val="22"/>
        </w:rPr>
        <w:t xml:space="preserve">   7.2 Security, Role Guards &amp; Zero Pricing Leakage Constraints</w:t>
      </w:r>
      <w:r>
        <w:rPr>
          <w:rFonts w:ascii="Times New Roman" w:hAnsi="Times New Roman"/>
          <w:color w:val="CBD5E0"/>
          <w:sz w:val="20"/>
        </w:rPr>
        <w:t xml:space="preserve">  </w:t>
      </w:r>
      <w:r>
        <w:rPr>
          <w:rFonts w:ascii="Times New Roman" w:hAnsi="Times New Roman"/>
          <w:b/>
          <w:sz w:val="22"/>
        </w:rPr>
        <w:t>32</w:t>
      </w:r>
    </w:p>
    <w:p>
      <w:pPr>
        <w:spacing w:line="312" w:lineRule="auto" w:before="20" w:after="20"/>
      </w:pPr>
      <w:r>
        <w:rPr>
          <w:rFonts w:ascii="Times New Roman" w:hAnsi="Times New Roman"/>
          <w:sz w:val="22"/>
        </w:rPr>
        <w:t xml:space="preserve">   7.3 Reliability, Fault Tolerance &amp; Multi-Tier Failover</w:t>
      </w:r>
      <w:r>
        <w:rPr>
          <w:rFonts w:ascii="Times New Roman" w:hAnsi="Times New Roman"/>
          <w:color w:val="CBD5E0"/>
          <w:sz w:val="20"/>
        </w:rPr>
        <w:t xml:space="preserve">  </w:t>
      </w:r>
      <w:r>
        <w:rPr>
          <w:rFonts w:ascii="Times New Roman" w:hAnsi="Times New Roman"/>
          <w:b/>
          <w:sz w:val="22"/>
        </w:rPr>
        <w:t>33</w:t>
      </w:r>
    </w:p>
    <w:p>
      <w:pPr>
        <w:spacing w:line="312" w:lineRule="auto" w:before="20" w:after="20"/>
      </w:pPr>
      <w:r>
        <w:rPr>
          <w:rFonts w:ascii="Times New Roman" w:hAnsi="Times New Roman"/>
          <w:sz w:val="22"/>
        </w:rPr>
        <w:t xml:space="preserve">   7.4 Usability, Accessibility &amp; Responsive Aesthetics</w:t>
      </w:r>
      <w:r>
        <w:rPr>
          <w:rFonts w:ascii="Times New Roman" w:hAnsi="Times New Roman"/>
          <w:color w:val="CBD5E0"/>
          <w:sz w:val="20"/>
        </w:rPr>
        <w:t xml:space="preserve">  </w:t>
      </w:r>
      <w:r>
        <w:rPr>
          <w:rFonts w:ascii="Times New Roman" w:hAnsi="Times New Roman"/>
          <w:b/>
          <w:sz w:val="22"/>
        </w:rPr>
        <w:t>33</w:t>
      </w:r>
    </w:p>
    <w:p>
      <w:pPr>
        <w:spacing w:line="312" w:lineRule="auto" w:before="20" w:after="20"/>
      </w:pPr>
      <w:r>
        <w:rPr>
          <w:rFonts w:ascii="Times New Roman" w:hAnsi="Times New Roman"/>
          <w:b/>
          <w:color w:val="1A365D"/>
          <w:sz w:val="22"/>
        </w:rPr>
        <w:t>Chapter 8: External Interfaces &amp; RESTful API Catalog</w:t>
      </w:r>
      <w:r>
        <w:rPr>
          <w:rFonts w:ascii="Times New Roman" w:hAnsi="Times New Roman"/>
          <w:color w:val="CBD5E0"/>
          <w:sz w:val="20"/>
        </w:rPr>
        <w:t xml:space="preserve">  </w:t>
      </w:r>
      <w:r>
        <w:rPr>
          <w:rFonts w:ascii="Times New Roman" w:hAnsi="Times New Roman"/>
          <w:b/>
          <w:sz w:val="22"/>
        </w:rPr>
        <w:t>34</w:t>
      </w:r>
    </w:p>
    <w:p>
      <w:pPr>
        <w:spacing w:line="312" w:lineRule="auto" w:before="20" w:after="20"/>
      </w:pPr>
      <w:r>
        <w:rPr>
          <w:rFonts w:ascii="Times New Roman" w:hAnsi="Times New Roman"/>
          <w:sz w:val="22"/>
        </w:rPr>
        <w:t xml:space="preserve">   8.1 Complete RESTful Endpoints Specification</w:t>
      </w:r>
      <w:r>
        <w:rPr>
          <w:rFonts w:ascii="Times New Roman" w:hAnsi="Times New Roman"/>
          <w:color w:val="CBD5E0"/>
          <w:sz w:val="20"/>
        </w:rPr>
        <w:t xml:space="preserve">  </w:t>
      </w:r>
      <w:r>
        <w:rPr>
          <w:rFonts w:ascii="Times New Roman" w:hAnsi="Times New Roman"/>
          <w:b/>
          <w:sz w:val="22"/>
        </w:rPr>
        <w:t>34</w:t>
      </w:r>
    </w:p>
    <w:p>
      <w:pPr>
        <w:spacing w:line="312" w:lineRule="auto" w:before="20" w:after="20"/>
      </w:pPr>
      <w:r>
        <w:rPr>
          <w:rFonts w:ascii="Times New Roman" w:hAnsi="Times New Roman"/>
          <w:sz w:val="22"/>
        </w:rPr>
        <w:t xml:space="preserve">   8.2 AI Multimodal Microservice Interfaces</w:t>
      </w:r>
      <w:r>
        <w:rPr>
          <w:rFonts w:ascii="Times New Roman" w:hAnsi="Times New Roman"/>
          <w:color w:val="CBD5E0"/>
          <w:sz w:val="20"/>
        </w:rPr>
        <w:t xml:space="preserve">  </w:t>
      </w:r>
      <w:r>
        <w:rPr>
          <w:rFonts w:ascii="Times New Roman" w:hAnsi="Times New Roman"/>
          <w:b/>
          <w:sz w:val="22"/>
        </w:rPr>
        <w:t>36</w:t>
      </w:r>
    </w:p>
    <w:p>
      <w:pPr>
        <w:spacing w:line="312" w:lineRule="auto" w:before="20" w:after="20"/>
      </w:pPr>
      <w:r>
        <w:rPr>
          <w:rFonts w:ascii="Times New Roman" w:hAnsi="Times New Roman"/>
          <w:b/>
          <w:color w:val="1A365D"/>
          <w:sz w:val="22"/>
        </w:rPr>
        <w:t>Chapter 9: Verification, Validation &amp; Traceability Matrix</w:t>
      </w:r>
      <w:r>
        <w:rPr>
          <w:rFonts w:ascii="Times New Roman" w:hAnsi="Times New Roman"/>
          <w:color w:val="CBD5E0"/>
          <w:sz w:val="20"/>
        </w:rPr>
        <w:t xml:space="preserve">  </w:t>
      </w:r>
      <w:r>
        <w:rPr>
          <w:rFonts w:ascii="Times New Roman" w:hAnsi="Times New Roman"/>
          <w:b/>
          <w:sz w:val="22"/>
        </w:rPr>
        <w:t>37</w:t>
      </w:r>
    </w:p>
    <w:p>
      <w:pPr>
        <w:spacing w:line="312" w:lineRule="auto" w:before="20" w:after="20"/>
      </w:pPr>
      <w:r>
        <w:rPr>
          <w:rFonts w:ascii="Times New Roman" w:hAnsi="Times New Roman"/>
          <w:sz w:val="22"/>
        </w:rPr>
        <w:t xml:space="preserve">   9.1 Requirements Traceability Matrix (RTM)</w:t>
      </w:r>
      <w:r>
        <w:rPr>
          <w:rFonts w:ascii="Times New Roman" w:hAnsi="Times New Roman"/>
          <w:color w:val="CBD5E0"/>
          <w:sz w:val="20"/>
        </w:rPr>
        <w:t xml:space="preserve">  </w:t>
      </w:r>
      <w:r>
        <w:rPr>
          <w:rFonts w:ascii="Times New Roman" w:hAnsi="Times New Roman"/>
          <w:b/>
          <w:sz w:val="22"/>
        </w:rPr>
        <w:t>37</w:t>
      </w:r>
    </w:p>
    <w:p>
      <w:pPr>
        <w:spacing w:line="312" w:lineRule="auto" w:before="20" w:after="20"/>
      </w:pPr>
      <w:r>
        <w:rPr>
          <w:rFonts w:ascii="Times New Roman" w:hAnsi="Times New Roman"/>
          <w:sz w:val="22"/>
        </w:rPr>
        <w:t xml:space="preserve">   9.2 Acceptance Criteria Checklist</w:t>
      </w:r>
      <w:r>
        <w:rPr>
          <w:rFonts w:ascii="Times New Roman" w:hAnsi="Times New Roman"/>
          <w:color w:val="CBD5E0"/>
          <w:sz w:val="20"/>
        </w:rPr>
        <w:t xml:space="preserve"> ........ </w:t>
      </w:r>
      <w:r>
        <w:rPr>
          <w:rFonts w:ascii="Times New Roman" w:hAnsi="Times New Roman"/>
          <w:b/>
          <w:sz w:val="22"/>
        </w:rPr>
        <w:t>38</w:t>
      </w:r>
    </w:p>
    <w:p>
      <w:pPr>
        <w:spacing w:line="312" w:lineRule="auto" w:before="20" w:after="20"/>
      </w:pPr>
      <w:r>
        <w:rPr>
          <w:rFonts w:ascii="Times New Roman" w:hAnsi="Times New Roman"/>
          <w:b/>
          <w:color w:val="1A365D"/>
          <w:sz w:val="22"/>
        </w:rPr>
        <w:t>Chapter 10: Academic References &amp; Bibliography</w:t>
      </w:r>
      <w:r>
        <w:rPr>
          <w:rFonts w:ascii="Times New Roman" w:hAnsi="Times New Roman"/>
          <w:color w:val="CBD5E0"/>
          <w:sz w:val="20"/>
        </w:rPr>
        <w:t xml:space="preserve">  </w:t>
      </w:r>
      <w:r>
        <w:rPr>
          <w:rFonts w:ascii="Times New Roman" w:hAnsi="Times New Roman"/>
          <w:b/>
          <w:sz w:val="22"/>
        </w:rPr>
        <w:t>39</w:t>
      </w:r>
    </w:p>
    <w:p>
      <w:r>
        <w:br w:type="page"/>
      </w:r>
    </w:p>
    <w:p>
      <w:pPr>
        <w:spacing w:before="280" w:after="120" w:line="360" w:lineRule="auto"/>
        <w:jc w:val="left"/>
      </w:pPr>
      <w:r>
        <w:rPr>
          <w:rFonts w:ascii="Times New Roman" w:hAnsi="Times New Roman"/>
          <w:b/>
          <w:color w:val="1A365D"/>
          <w:sz w:val="32"/>
        </w:rPr>
        <w:t>Chapter 1: Introduction</w:t>
      </w:r>
    </w:p>
    <w:p>
      <w:pPr>
        <w:spacing w:before="200" w:after="80" w:line="360" w:lineRule="auto"/>
        <w:jc w:val="left"/>
      </w:pPr>
      <w:r>
        <w:rPr>
          <w:rFonts w:ascii="Times New Roman" w:hAnsi="Times New Roman"/>
          <w:b/>
          <w:color w:val="2B6CB0"/>
          <w:sz w:val="28"/>
        </w:rPr>
        <w:t>1.1 Purpose of the Document</w:t>
      </w:r>
    </w:p>
    <w:p>
      <w:pPr>
        <w:spacing w:before="0" w:after="120" w:line="360" w:lineRule="auto"/>
        <w:jc w:val="both"/>
      </w:pPr>
      <w:r>
        <w:rPr>
          <w:rFonts w:ascii="Times New Roman" w:hAnsi="Times New Roman"/>
          <w:sz w:val="24"/>
        </w:rPr>
        <w:t>This Software Requirements Specification (SRS) document provides a comprehensive, rigorous, and formal description of the functional, non-functional, behavioral, and architectural requirements for the "AI-Powered Multimodal E-Commerce Platform for Authentic Peshawari Chappal". This document establishes the definitive baseline agreement between project stakeholders, academic evaluators, software engineering teams, and prospective system maintainers. It complies with IEEE Std 830-1998 (Recommended Practice for Software Requirements Specifications) and ISO/IEC/IEEE 29148:2018 systems engineering standards.</w:t>
      </w:r>
    </w:p>
    <w:p>
      <w:pPr>
        <w:spacing w:before="200" w:after="80" w:line="360" w:lineRule="auto"/>
        <w:jc w:val="left"/>
      </w:pPr>
      <w:r>
        <w:rPr>
          <w:rFonts w:ascii="Times New Roman" w:hAnsi="Times New Roman"/>
          <w:b/>
          <w:color w:val="2B6CB0"/>
          <w:sz w:val="28"/>
        </w:rPr>
        <w:t>1.2 Scope of the System</w:t>
      </w:r>
    </w:p>
    <w:p>
      <w:pPr>
        <w:spacing w:before="0" w:after="120" w:line="360" w:lineRule="auto"/>
        <w:jc w:val="both"/>
      </w:pPr>
      <w:r>
        <w:rPr>
          <w:rFonts w:ascii="Times New Roman" w:hAnsi="Times New Roman"/>
          <w:sz w:val="24"/>
        </w:rPr>
        <w:t>The platform is an all-inclusive web-based commerce and enterprise resource management ecosystem specifically engineered to digitalize the traditional Pakistani handcrafted footwear sector. The software scope encompasses:</w:t>
      </w:r>
    </w:p>
    <w:p>
      <w:pPr>
        <w:pStyle w:val="ListBullet"/>
        <w:spacing w:before="0" w:after="80" w:line="360" w:lineRule="auto"/>
        <w:jc w:val="both"/>
      </w:pPr>
      <w:r>
        <w:rPr>
          <w:rFonts w:ascii="Times New Roman" w:hAnsi="Times New Roman"/>
          <w:b/>
          <w:sz w:val="24"/>
        </w:rPr>
        <w:t xml:space="preserve">Client E-Commerce Web Application: </w:t>
      </w:r>
      <w:r>
        <w:rPr>
          <w:rFonts w:ascii="Times New Roman" w:hAnsi="Times New Roman"/>
          <w:sz w:val="24"/>
        </w:rPr>
        <w:t>A high-performance storefront featuring dynamic search, category browsing, localized currency formatting (PKR / Rs.), shopping cart management, single-click instant checkout, cash-on-delivery (COD) dispatch, and real-time shipment step tracking.</w:t>
      </w:r>
    </w:p>
    <w:p>
      <w:pPr>
        <w:pStyle w:val="ListBullet"/>
        <w:spacing w:before="0" w:after="80" w:line="360" w:lineRule="auto"/>
        <w:jc w:val="both"/>
      </w:pPr>
      <w:r>
        <w:rPr>
          <w:rFonts w:ascii="Times New Roman" w:hAnsi="Times New Roman"/>
          <w:b/>
          <w:sz w:val="24"/>
        </w:rPr>
        <w:t xml:space="preserve">3D Interactive Mesh Customizer: </w:t>
      </w:r>
      <w:r>
        <w:rPr>
          <w:rFonts w:ascii="Times New Roman" w:hAnsi="Times New Roman"/>
          <w:sz w:val="24"/>
        </w:rPr>
        <w:t>A client-side Three.js canvas utilizing depth-extrusion shaders and GLTF mesh models to enable real-time 360-degree rotation, dual-tone leather shade preview, and brass buckle material switching.</w:t>
      </w:r>
    </w:p>
    <w:p>
      <w:pPr>
        <w:pStyle w:val="ListBullet"/>
        <w:spacing w:before="0" w:after="80" w:line="360" w:lineRule="auto"/>
        <w:jc w:val="both"/>
      </w:pPr>
      <w:r>
        <w:rPr>
          <w:rFonts w:ascii="Times New Roman" w:hAnsi="Times New Roman"/>
          <w:b/>
          <w:sz w:val="24"/>
        </w:rPr>
        <w:t xml:space="preserve">AI Multimodal Foot Sizing Engine: </w:t>
      </w:r>
      <w:r>
        <w:rPr>
          <w:rFonts w:ascii="Times New Roman" w:hAnsi="Times New Roman"/>
          <w:sz w:val="24"/>
        </w:rPr>
        <w:t>A computer vision subsystem employing A4 reference sheet perspective transformation, contour segmentation, and millimeter-to-shoe size mappings strictly within standard Pakistani/UK numbers 7 to 13.</w:t>
      </w:r>
    </w:p>
    <w:p>
      <w:pPr>
        <w:pStyle w:val="ListBullet"/>
        <w:spacing w:before="0" w:after="80" w:line="360" w:lineRule="auto"/>
        <w:jc w:val="both"/>
      </w:pPr>
      <w:r>
        <w:rPr>
          <w:rFonts w:ascii="Times New Roman" w:hAnsi="Times New Roman"/>
          <w:b/>
          <w:sz w:val="24"/>
        </w:rPr>
        <w:t xml:space="preserve">Virtual Outfit Matching Classifier: </w:t>
      </w:r>
      <w:r>
        <w:rPr>
          <w:rFonts w:ascii="Times New Roman" w:hAnsi="Times New Roman"/>
          <w:sz w:val="24"/>
        </w:rPr>
        <w:t>A color harmony engine matching user-uploaded traditional attire (e.g., Shalwar Kameez, Kurta) with complementary leather shades (Saddle Tan, Espresso Dark Brown, Oxblood Cherry, Mustard Camel, Midnight Jet Black).</w:t>
      </w:r>
    </w:p>
    <w:p>
      <w:pPr>
        <w:pStyle w:val="ListBullet"/>
        <w:spacing w:before="0" w:after="80" w:line="360" w:lineRule="auto"/>
        <w:jc w:val="both"/>
      </w:pPr>
      <w:r>
        <w:rPr>
          <w:rFonts w:ascii="Times New Roman" w:hAnsi="Times New Roman"/>
          <w:b/>
          <w:sz w:val="24"/>
        </w:rPr>
        <w:t xml:space="preserve">Multimodal AI Auto-Fill Cascade: </w:t>
      </w:r>
      <w:r>
        <w:rPr>
          <w:rFonts w:ascii="Times New Roman" w:hAnsi="Times New Roman"/>
          <w:sz w:val="24"/>
        </w:rPr>
        <w:t>An automated product listing engine connecting Google Gemini 3.6 Flash, Experiential Labs AI Gateway, and local catalog heuristics to auto-populate cultural titles, subtitles, descriptions, and detected color swatches with strict zero-pricing-leakage enforcement.</w:t>
      </w:r>
    </w:p>
    <w:p>
      <w:pPr>
        <w:pStyle w:val="ListBullet"/>
        <w:spacing w:before="0" w:after="80" w:line="360" w:lineRule="auto"/>
        <w:jc w:val="both"/>
      </w:pPr>
      <w:r>
        <w:rPr>
          <w:rFonts w:ascii="Times New Roman" w:hAnsi="Times New Roman"/>
          <w:b/>
          <w:sz w:val="24"/>
        </w:rPr>
        <w:t xml:space="preserve">Executive Management Portal: </w:t>
      </w:r>
      <w:r>
        <w:rPr>
          <w:rFonts w:ascii="Times New Roman" w:hAnsi="Times New Roman"/>
          <w:sz w:val="24"/>
        </w:rPr>
        <w:t>A secure, role-based admin dashboard supporting Super Administrator and Store Manager tiers with real-time KPI telemetry, automated CSV export, KDM financial statements, and an isolated Supplier Procurement Capital Ledger.</w:t>
      </w:r>
    </w:p>
    <w:p>
      <w:pPr>
        <w:spacing w:before="200" w:after="80" w:line="360" w:lineRule="auto"/>
        <w:jc w:val="left"/>
      </w:pPr>
      <w:r>
        <w:rPr>
          <w:rFonts w:ascii="Times New Roman" w:hAnsi="Times New Roman"/>
          <w:b/>
          <w:color w:val="2B6CB0"/>
          <w:sz w:val="28"/>
        </w:rPr>
        <w:t>1.3 Problem Statement &amp; Industry Context</w:t>
      </w:r>
    </w:p>
    <w:p>
      <w:pPr>
        <w:spacing w:before="0" w:after="120" w:line="360" w:lineRule="auto"/>
        <w:jc w:val="both"/>
      </w:pPr>
      <w:r>
        <w:rPr>
          <w:rFonts w:ascii="Times New Roman" w:hAnsi="Times New Roman"/>
          <w:sz w:val="24"/>
        </w:rPr>
        <w:t>The handmade footwear market in Khyber Pakhtunkhwa (notably Peshawar, Charsadda, and Quetta) represents a multi-million-rupee cottage industry. However, artisans face severe hurdles in scaling to e-commerce:</w:t>
      </w:r>
    </w:p>
    <w:p>
      <w:pPr>
        <w:spacing w:before="0" w:after="120" w:line="360" w:lineRule="auto"/>
        <w:jc w:val="both"/>
      </w:pPr>
      <w:r>
        <w:rPr>
          <w:rFonts w:ascii="Times New Roman" w:hAnsi="Times New Roman"/>
          <w:sz w:val="24"/>
        </w:rPr>
        <w:t>1. Discrepant Sizing Standards: Unlike automated factory shoe production, traditional Peshawari chappals are hand-lasted. Sizing variations cause return rates exceeding 32%, inflating courier reverse-logistics costs.</w:t>
      </w:r>
    </w:p>
    <w:p>
      <w:pPr>
        <w:spacing w:before="0" w:after="120" w:line="360" w:lineRule="auto"/>
        <w:jc w:val="both"/>
      </w:pPr>
      <w:r>
        <w:rPr>
          <w:rFonts w:ascii="Times New Roman" w:hAnsi="Times New Roman"/>
          <w:sz w:val="24"/>
        </w:rPr>
        <w:t>2. Limited Spatial Visualization: Customers cannot feel the leather or examine sole thickness (single tyre vs. heavy-duty double tyre) through static 2D images, dampening buying confidence.</w:t>
      </w:r>
    </w:p>
    <w:p>
      <w:pPr>
        <w:spacing w:before="0" w:after="120" w:line="360" w:lineRule="auto"/>
        <w:jc w:val="both"/>
      </w:pPr>
      <w:r>
        <w:rPr>
          <w:rFonts w:ascii="Times New Roman" w:hAnsi="Times New Roman"/>
          <w:sz w:val="24"/>
        </w:rPr>
        <w:t>3. Manual Catalog Overhead: Artisans lack the technical literacy or linguistic copywriting skills to craft compelling, SEO-optimized English product descriptions and color codes.</w:t>
      </w:r>
    </w:p>
    <w:p>
      <w:pPr>
        <w:spacing w:before="0" w:after="120" w:line="360" w:lineRule="auto"/>
        <w:jc w:val="both"/>
      </w:pPr>
      <w:r>
        <w:rPr>
          <w:rFonts w:ascii="Times New Roman" w:hAnsi="Times New Roman"/>
          <w:sz w:val="24"/>
        </w:rPr>
        <w:t>4. Accounting &amp; Capital Entanglement: In typical small businesses, revenue from completed consumer sales is intermingled with the working capital required to buy leather hides and tyre soles from suppliers, causing premature inventory depletion.</w:t>
      </w:r>
    </w:p>
    <w:p>
      <w:pPr>
        <w:spacing w:before="200" w:after="80" w:line="360" w:lineRule="auto"/>
        <w:jc w:val="left"/>
      </w:pPr>
      <w:r>
        <w:rPr>
          <w:rFonts w:ascii="Times New Roman" w:hAnsi="Times New Roman"/>
          <w:b/>
          <w:color w:val="2B6CB0"/>
          <w:sz w:val="28"/>
        </w:rPr>
        <w:t>1.4 Stakeholder &amp; User Profiles</w:t>
      </w:r>
    </w:p>
    <w:tbl>
      <w:tblPr>
        <w:tblW w:type="auto" w:w="0"/>
        <w:jc w:val="center"/>
        <w:tblLook w:firstColumn="1" w:firstRow="1" w:lastColumn="0" w:lastRow="0" w:noHBand="0" w:noVBand="1" w:val="04A0"/>
      </w:tblPr>
      <w:tblGrid>
        <w:gridCol w:w="3010"/>
        <w:gridCol w:w="3010"/>
        <w:gridCol w:w="3010"/>
      </w:tblGrid>
      <w:tr>
        <w:tc>
          <w:tcPr>
            <w:tcW w:type="dxa" w:w="259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Stakeholder Role</w:t>
            </w:r>
          </w:p>
        </w:tc>
        <w:tc>
          <w:tcPr>
            <w:tcW w:type="dxa" w:w="259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Technical Competency</w:t>
            </w:r>
          </w:p>
        </w:tc>
        <w:tc>
          <w:tcPr>
            <w:tcW w:type="dxa" w:w="3744"/>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Primary Responsibilities / Goals</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Online Customer</w:t>
            </w:r>
          </w:p>
        </w:tc>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Novice to Moderate</w:t>
            </w:r>
          </w:p>
        </w:tc>
        <w:tc>
          <w:tcPr>
            <w:tcW w:type="dxa" w:w="374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Browse catalog, measure foot size via camera, customize 3D leather colors, place COD orders, track delivery.</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Super Administrator</w:t>
            </w:r>
          </w:p>
        </w:tc>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Advanced</w:t>
            </w:r>
          </w:p>
        </w:tc>
        <w:tc>
          <w:tcPr>
            <w:tcW w:type="dxa" w:w="374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Manage full catalog, delegate manager access, oversee financial KDM reports, adjust supplier capital ledger, configure hero branding.</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Store Manager</w:t>
            </w:r>
          </w:p>
        </w:tc>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Moderate</w:t>
            </w:r>
          </w:p>
        </w:tc>
        <w:tc>
          <w:tcPr>
            <w:tcW w:type="dxa" w:w="374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Process customer orders, update shipment tracking stages, handle exchange/replacement tickets, monitor low-stock alerts.</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Artisan Supplier</w:t>
            </w:r>
          </w:p>
        </w:tc>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Basic</w:t>
            </w:r>
          </w:p>
        </w:tc>
        <w:tc>
          <w:tcPr>
            <w:tcW w:type="dxa" w:w="374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Supply raw crafted batches, receive procurement payments based on the dedicated inventory buying ledger.</w:t>
            </w:r>
          </w:p>
        </w:tc>
      </w:tr>
    </w:tbl>
    <w:p>
      <w:pPr>
        <w:spacing w:before="200" w:after="80" w:line="360" w:lineRule="auto"/>
        <w:jc w:val="left"/>
      </w:pPr>
      <w:r>
        <w:rPr>
          <w:rFonts w:ascii="Times New Roman" w:hAnsi="Times New Roman"/>
          <w:b/>
          <w:color w:val="2B6CB0"/>
          <w:sz w:val="28"/>
        </w:rPr>
        <w:t>1.5 Definitions, Acronyms, and Abbreviations</w:t>
      </w:r>
    </w:p>
    <w:tbl>
      <w:tblPr>
        <w:tblW w:type="auto" w:w="0"/>
        <w:jc w:val="center"/>
        <w:tblLook w:firstColumn="1" w:firstRow="1" w:lastColumn="0" w:lastRow="0" w:noHBand="0" w:noVBand="1" w:val="04A0"/>
      </w:tblPr>
      <w:tblGrid>
        <w:gridCol w:w="4514"/>
        <w:gridCol w:w="4514"/>
      </w:tblGrid>
      <w:tr>
        <w:tc>
          <w:tcPr>
            <w:tcW w:type="dxa" w:w="288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Term / Acronym</w:t>
            </w:r>
          </w:p>
        </w:tc>
        <w:tc>
          <w:tcPr>
            <w:tcW w:type="dxa" w:w="604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Formal Definition &amp; Context</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MERN</w:t>
            </w:r>
          </w:p>
        </w:tc>
        <w:tc>
          <w:tcPr>
            <w:tcW w:type="dxa" w:w="60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Software stack comprising MongoDB, Express.js, React.js, and Node.js.</w:t>
            </w:r>
          </w:p>
        </w:tc>
      </w:tr>
      <w:tr>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SRS</w:t>
            </w:r>
          </w:p>
        </w:tc>
        <w:tc>
          <w:tcPr>
            <w:tcW w:type="dxa" w:w="60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Software Requirements Specification; formal requirements baseline document.</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DFD</w:t>
            </w:r>
          </w:p>
        </w:tc>
        <w:tc>
          <w:tcPr>
            <w:tcW w:type="dxa" w:w="60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Data Flow Diagram; visual representation of data movement through a system.</w:t>
            </w:r>
          </w:p>
        </w:tc>
      </w:tr>
      <w:tr>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ERD</w:t>
            </w:r>
          </w:p>
        </w:tc>
        <w:tc>
          <w:tcPr>
            <w:tcW w:type="dxa" w:w="60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Entity-Relationship Diagram; structural diagram modeling database entities and cardinalities.</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Homography</w:t>
            </w:r>
          </w:p>
        </w:tc>
        <w:tc>
          <w:tcPr>
            <w:tcW w:type="dxa" w:w="60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Planar projective transformation used to rectify perspective distortion from angled camera images of an A4 sheet.</w:t>
            </w:r>
          </w:p>
        </w:tc>
      </w:tr>
      <w:tr>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COD</w:t>
            </w:r>
          </w:p>
        </w:tc>
        <w:tc>
          <w:tcPr>
            <w:tcW w:type="dxa" w:w="60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Cash on Delivery; payment settlement modality upon physical courier handover.</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JWT</w:t>
            </w:r>
          </w:p>
        </w:tc>
        <w:tc>
          <w:tcPr>
            <w:tcW w:type="dxa" w:w="60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JSON Web Token; compact, URL-safe cryptographic assertion used for stateless authentication.</w:t>
            </w:r>
          </w:p>
        </w:tc>
      </w:tr>
      <w:tr>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KDM</w:t>
            </w:r>
          </w:p>
        </w:tc>
        <w:tc>
          <w:tcPr>
            <w:tcW w:type="dxa" w:w="60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Khyber Digital Monetization; internal financial accounting ledger standard.</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Three.js</w:t>
            </w:r>
          </w:p>
        </w:tc>
        <w:tc>
          <w:tcPr>
            <w:tcW w:type="dxa" w:w="60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WebGL JavaScript library for rendering real-time interactive 3D computer graphics.</w:t>
            </w:r>
          </w:p>
        </w:tc>
      </w:tr>
      <w:tr>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Gemini 3.6 Flash</w:t>
            </w:r>
          </w:p>
        </w:tc>
        <w:tc>
          <w:tcPr>
            <w:tcW w:type="dxa" w:w="60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Google DeepMind's state-of-the-art multimodal vision-language AI model.</w:t>
            </w:r>
          </w:p>
        </w:tc>
      </w:tr>
    </w:tbl>
    <w:p>
      <w:r>
        <w:br w:type="page"/>
      </w:r>
    </w:p>
    <w:p>
      <w:pPr>
        <w:spacing w:before="280" w:after="120" w:line="360" w:lineRule="auto"/>
        <w:jc w:val="left"/>
      </w:pPr>
      <w:r>
        <w:rPr>
          <w:rFonts w:ascii="Times New Roman" w:hAnsi="Times New Roman"/>
          <w:b/>
          <w:color w:val="1A365D"/>
          <w:sz w:val="32"/>
        </w:rPr>
        <w:t>Chapter 2: Overall System Description</w:t>
      </w:r>
    </w:p>
    <w:p>
      <w:pPr>
        <w:spacing w:before="200" w:after="80" w:line="360" w:lineRule="auto"/>
        <w:jc w:val="left"/>
      </w:pPr>
      <w:r>
        <w:rPr>
          <w:rFonts w:ascii="Times New Roman" w:hAnsi="Times New Roman"/>
          <w:b/>
          <w:color w:val="2B6CB0"/>
          <w:sz w:val="28"/>
        </w:rPr>
        <w:t>2.1 Product Perspective &amp; Context</w:t>
      </w:r>
    </w:p>
    <w:p>
      <w:pPr>
        <w:spacing w:before="0" w:after="120" w:line="360" w:lineRule="auto"/>
        <w:jc w:val="both"/>
      </w:pPr>
      <w:r>
        <w:rPr>
          <w:rFonts w:ascii="Times New Roman" w:hAnsi="Times New Roman"/>
          <w:sz w:val="24"/>
        </w:rPr>
        <w:t>The Peshawari Chappal Platform operates as a self-contained, cloud-native web system that interfaces with client web browsers, cloud database clusters, third-party courier APIs, and remote multimodal AI inference engines. The system replaces obsolete paper ledger workflows with a unified, synchronized software pipeline.</w:t>
      </w:r>
    </w:p>
    <w:p>
      <w:pPr>
        <w:spacing w:before="200" w:after="80" w:line="360" w:lineRule="auto"/>
        <w:jc w:val="left"/>
      </w:pPr>
      <w:r>
        <w:rPr>
          <w:rFonts w:ascii="Times New Roman" w:hAnsi="Times New Roman"/>
          <w:b/>
          <w:color w:val="2B6CB0"/>
          <w:sz w:val="28"/>
        </w:rPr>
        <w:t>2.2 System Interfaces</w:t>
      </w:r>
    </w:p>
    <w:p>
      <w:pPr>
        <w:pStyle w:val="ListBullet"/>
        <w:spacing w:before="0" w:after="80" w:line="360" w:lineRule="auto"/>
        <w:jc w:val="both"/>
      </w:pPr>
      <w:r>
        <w:rPr>
          <w:rFonts w:ascii="Times New Roman" w:hAnsi="Times New Roman"/>
          <w:b/>
          <w:sz w:val="24"/>
        </w:rPr>
        <w:t xml:space="preserve">User Interface (UI): </w:t>
      </w:r>
      <w:r>
        <w:rPr>
          <w:rFonts w:ascii="Times New Roman" w:hAnsi="Times New Roman"/>
          <w:sz w:val="24"/>
        </w:rPr>
        <w:t>Built using React 19 and TailwindCSS, presenting a luxury-themed palette (#1E3A8A blue, slate neutral, and warm gold accents). Fully responsive across mobile smartphones (360px+), tablets, and desktop workstations.</w:t>
      </w:r>
    </w:p>
    <w:p>
      <w:pPr>
        <w:pStyle w:val="ListBullet"/>
        <w:spacing w:before="0" w:after="80" w:line="360" w:lineRule="auto"/>
        <w:jc w:val="both"/>
      </w:pPr>
      <w:r>
        <w:rPr>
          <w:rFonts w:ascii="Times New Roman" w:hAnsi="Times New Roman"/>
          <w:b/>
          <w:sz w:val="24"/>
        </w:rPr>
        <w:t xml:space="preserve">Hardware Interface: </w:t>
      </w:r>
      <w:r>
        <w:rPr>
          <w:rFonts w:ascii="Times New Roman" w:hAnsi="Times New Roman"/>
          <w:sz w:val="24"/>
        </w:rPr>
        <w:t>Leverages client device camera hardware via the HTML5 MediaDevices API (`navigator.mediaDevices.getUserMedia`) for live foot photo capture.</w:t>
      </w:r>
    </w:p>
    <w:p>
      <w:pPr>
        <w:pStyle w:val="ListBullet"/>
        <w:spacing w:before="0" w:after="80" w:line="360" w:lineRule="auto"/>
        <w:jc w:val="both"/>
      </w:pPr>
      <w:r>
        <w:rPr>
          <w:rFonts w:ascii="Times New Roman" w:hAnsi="Times New Roman"/>
          <w:b/>
          <w:sz w:val="24"/>
        </w:rPr>
        <w:t xml:space="preserve">Software Interface: </w:t>
      </w:r>
      <w:r>
        <w:rPr>
          <w:rFonts w:ascii="Times New Roman" w:hAnsi="Times New Roman"/>
          <w:sz w:val="24"/>
        </w:rPr>
        <w:t>Express.js RESTful API communicating with MongoDB Atlas via Mongoose ODM, and connecting to external AI endpoints via standard HTTPS fetch.</w:t>
      </w:r>
    </w:p>
    <w:p>
      <w:pPr>
        <w:pStyle w:val="ListBullet"/>
        <w:spacing w:before="0" w:after="80" w:line="360" w:lineRule="auto"/>
        <w:jc w:val="both"/>
      </w:pPr>
      <w:r>
        <w:rPr>
          <w:rFonts w:ascii="Times New Roman" w:hAnsi="Times New Roman"/>
          <w:b/>
          <w:sz w:val="24"/>
        </w:rPr>
        <w:t xml:space="preserve">Communications Interface: </w:t>
      </w:r>
      <w:r>
        <w:rPr>
          <w:rFonts w:ascii="Times New Roman" w:hAnsi="Times New Roman"/>
          <w:sz w:val="24"/>
        </w:rPr>
        <w:t>HTTPS/TLS 1.3 protocol encryption for all data in transit, with universal Cross-Origin Resource Sharing (CORS) rules configured for multi-device local network and production cloud domains.</w:t>
      </w:r>
    </w:p>
    <w:p>
      <w:pPr>
        <w:spacing w:before="200" w:after="80" w:line="360" w:lineRule="auto"/>
        <w:jc w:val="left"/>
      </w:pPr>
      <w:r>
        <w:rPr>
          <w:rFonts w:ascii="Times New Roman" w:hAnsi="Times New Roman"/>
          <w:b/>
          <w:color w:val="2B6CB0"/>
          <w:sz w:val="28"/>
        </w:rPr>
        <w:t>2.3 Operating Environment &amp; Technology Stack</w:t>
      </w:r>
    </w:p>
    <w:tbl>
      <w:tblPr>
        <w:tblW w:type="auto" w:w="0"/>
        <w:jc w:val="center"/>
        <w:tblLook w:firstColumn="1" w:firstRow="1" w:lastColumn="0" w:lastRow="0" w:noHBand="0" w:noVBand="1" w:val="04A0"/>
      </w:tblPr>
      <w:tblGrid>
        <w:gridCol w:w="3010"/>
        <w:gridCol w:w="3010"/>
        <w:gridCol w:w="3010"/>
      </w:tblGrid>
      <w:tr>
        <w:tc>
          <w:tcPr>
            <w:tcW w:type="dxa" w:w="259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Layer / Subsystem</w:t>
            </w:r>
          </w:p>
        </w:tc>
        <w:tc>
          <w:tcPr>
            <w:tcW w:type="dxa" w:w="316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Primary Technology</w:t>
            </w:r>
          </w:p>
        </w:tc>
        <w:tc>
          <w:tcPr>
            <w:tcW w:type="dxa" w:w="316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Key Libraries / Frameworks</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Presentation Layer</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React 19, TypeScript, Vite</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Lucide React, TailwindCSS, Canvas API</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3D Graphics Subsystem</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WebGL / Three.js</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GLTF Loader, OrbitControls, Depth Mesh Shaders</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Application Server</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Node.js v24+, Express.js</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Multer, jsonwebtoken, bcryptjs, cors</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AI Vision &amp; Microservice</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Google Gemini 3.6, Python</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OpenCV, FastAI, Experiential Labs Gateway</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Database &amp; Persistence</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MongoDB Atlas Cloud</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Mongoose ODM v8.5+, Local Mirror JSON Store</w:t>
            </w:r>
          </w:p>
        </w:tc>
      </w:tr>
    </w:tbl>
    <w:p>
      <w:pPr>
        <w:spacing w:before="200" w:after="80" w:line="360" w:lineRule="auto"/>
        <w:jc w:val="left"/>
      </w:pPr>
      <w:r>
        <w:rPr>
          <w:rFonts w:ascii="Times New Roman" w:hAnsi="Times New Roman"/>
          <w:b/>
          <w:color w:val="2B6CB0"/>
          <w:sz w:val="28"/>
        </w:rPr>
        <w:t>2.4 Design and Implementation Constraints</w:t>
      </w:r>
    </w:p>
    <w:p>
      <w:pPr>
        <w:spacing w:before="0" w:after="120" w:line="360" w:lineRule="auto"/>
        <w:jc w:val="both"/>
      </w:pPr>
      <w:r>
        <w:rPr>
          <w:rFonts w:ascii="Times New Roman" w:hAnsi="Times New Roman"/>
          <w:sz w:val="24"/>
        </w:rPr>
        <w:t>1. Sizing Constraint: All product listings, cart items, order items, and foot measurement algorithms must strictly operate within standard Pakistani/UK whole numbers [7, 8, 9, 10, 11, 12, 13]. European/fractional numbers (e.g., 39, 40, 41) are strictly prohibited.</w:t>
      </w:r>
    </w:p>
    <w:p>
      <w:pPr>
        <w:spacing w:before="0" w:after="120" w:line="360" w:lineRule="auto"/>
        <w:jc w:val="both"/>
      </w:pPr>
      <w:r>
        <w:rPr>
          <w:rFonts w:ascii="Times New Roman" w:hAnsi="Times New Roman"/>
          <w:sz w:val="24"/>
        </w:rPr>
        <w:t>2. Zero Pricing Leakage: The multimodal AI catalog auto-fill service must NEVER generate or overwrite financial pricing attributes (`price`, `costPrice`, `originalPrice`). Financial fields are exclusively under manual admin authorization.</w:t>
      </w:r>
    </w:p>
    <w:p>
      <w:pPr>
        <w:spacing w:before="0" w:after="120" w:line="360" w:lineRule="auto"/>
        <w:jc w:val="both"/>
      </w:pPr>
      <w:r>
        <w:rPr>
          <w:rFonts w:ascii="Times New Roman" w:hAnsi="Times New Roman"/>
          <w:sz w:val="24"/>
        </w:rPr>
        <w:t>3. Dual-Tier Persistence Resilience: The system must remain fully operational when MongoDB Atlas cloud is offline or disconnected, automatically falling back to local JSON data stores and syncing bidirectionally upon reconnection.</w:t>
      </w:r>
    </w:p>
    <w:p>
      <w:pPr>
        <w:spacing w:before="0" w:after="120" w:line="360" w:lineRule="auto"/>
        <w:jc w:val="both"/>
      </w:pPr>
      <w:r>
        <w:rPr>
          <w:rFonts w:ascii="Times New Roman" w:hAnsi="Times New Roman"/>
          <w:sz w:val="24"/>
        </w:rPr>
        <w:t>4. Single-Page Application (SPA) Routing: Client navigation must utilize React Router v7 with zero full-page reload overhead for maximum performance.</w:t>
      </w:r>
    </w:p>
    <w:p>
      <w:r>
        <w:br w:type="page"/>
      </w:r>
    </w:p>
    <w:p>
      <w:pPr>
        <w:spacing w:before="280" w:after="120" w:line="360" w:lineRule="auto"/>
        <w:jc w:val="left"/>
      </w:pPr>
      <w:r>
        <w:rPr>
          <w:rFonts w:ascii="Times New Roman" w:hAnsi="Times New Roman"/>
          <w:b/>
          <w:color w:val="1A365D"/>
          <w:sz w:val="32"/>
        </w:rPr>
        <w:t>Chapter 3: System Architecture &amp; Data Flow Modeling</w:t>
      </w:r>
    </w:p>
    <w:p>
      <w:pPr>
        <w:spacing w:before="200" w:after="80" w:line="360" w:lineRule="auto"/>
        <w:jc w:val="left"/>
      </w:pPr>
      <w:r>
        <w:rPr>
          <w:rFonts w:ascii="Times New Roman" w:hAnsi="Times New Roman"/>
          <w:b/>
          <w:color w:val="2B6CB0"/>
          <w:sz w:val="28"/>
        </w:rPr>
        <w:t>3.1 Multi-Tier System Architecture</w:t>
      </w:r>
    </w:p>
    <w:p>
      <w:pPr>
        <w:spacing w:before="0" w:after="120" w:line="360" w:lineRule="auto"/>
        <w:jc w:val="both"/>
      </w:pPr>
      <w:r>
        <w:rPr>
          <w:rFonts w:ascii="Times New Roman" w:hAnsi="Times New Roman"/>
          <w:sz w:val="24"/>
        </w:rPr>
        <w:t>The platform adopts a decoupled multi-tier architectural pattern consisting of: (1) Client Presentation Tier, (2) Application &amp; API Gateway Tier, (3) AI Multimodal Inference Tier, and (4) Dual-Tier Data Storage &amp; Cloud Cluster. Figure 1 illustrates this structural topology.</w:t>
      </w:r>
    </w:p>
    <w:p>
      <w:pPr>
        <w:spacing w:before="160"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arch_diagram.png"/>
                    <pic:cNvPicPr/>
                  </pic:nvPicPr>
                  <pic:blipFill>
                    <a:blip r:embed="rId10"/>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4A5568"/>
          <w:sz w:val="21"/>
        </w:rPr>
        <w:t>Figure 1: High-Level Multi-Tier System Architecture Diagram</w:t>
      </w:r>
    </w:p>
    <w:p>
      <w:pPr>
        <w:spacing w:before="200" w:after="80" w:line="360" w:lineRule="auto"/>
        <w:jc w:val="left"/>
      </w:pPr>
      <w:r>
        <w:rPr>
          <w:rFonts w:ascii="Times New Roman" w:hAnsi="Times New Roman"/>
          <w:b/>
          <w:color w:val="2B6CB0"/>
          <w:sz w:val="28"/>
        </w:rPr>
        <w:t>3.2 Data Flow Diagram (DFD) Level 0: Context Diagram</w:t>
      </w:r>
    </w:p>
    <w:p>
      <w:pPr>
        <w:spacing w:before="0" w:after="120" w:line="360" w:lineRule="auto"/>
        <w:jc w:val="both"/>
      </w:pPr>
      <w:r>
        <w:rPr>
          <w:rFonts w:ascii="Times New Roman" w:hAnsi="Times New Roman"/>
          <w:sz w:val="24"/>
        </w:rPr>
        <w:t>The Level 0 Context Diagram defines the foundational boundary of the Peshawari Chappal Platform, illustrating all external entities (Customer, Super Administrator, Store Manager, Multimodal AI Gateway, Courier Logistics Service, Payment Gateway) and the high-level information exchanges entering and exiting the core system.</w:t>
      </w:r>
    </w:p>
    <w:p>
      <w:pPr>
        <w:spacing w:before="160" w:after="40"/>
        <w:jc w:val="center"/>
      </w:pPr>
      <w:r>
        <w:drawing>
          <wp:inline xmlns:a="http://schemas.openxmlformats.org/drawingml/2006/main" xmlns:pic="http://schemas.openxmlformats.org/drawingml/2006/picture">
            <wp:extent cx="5669280" cy="3607724"/>
            <wp:docPr id="2" name="Picture 2"/>
            <wp:cNvGraphicFramePr>
              <a:graphicFrameLocks noChangeAspect="1"/>
            </wp:cNvGraphicFramePr>
            <a:graphic>
              <a:graphicData uri="http://schemas.openxmlformats.org/drawingml/2006/picture">
                <pic:pic>
                  <pic:nvPicPr>
                    <pic:cNvPr id="0" name="dfd_level0.png"/>
                    <pic:cNvPicPr/>
                  </pic:nvPicPr>
                  <pic:blipFill>
                    <a:blip r:embed="rId11"/>
                    <a:stretch>
                      <a:fillRect/>
                    </a:stretch>
                  </pic:blipFill>
                  <pic:spPr>
                    <a:xfrm>
                      <a:off x="0" y="0"/>
                      <a:ext cx="5669280" cy="3607724"/>
                    </a:xfrm>
                    <a:prstGeom prst="rect"/>
                  </pic:spPr>
                </pic:pic>
              </a:graphicData>
            </a:graphic>
          </wp:inline>
        </w:drawing>
      </w:r>
    </w:p>
    <w:p>
      <w:pPr>
        <w:spacing w:before="40" w:after="200" w:line="360" w:lineRule="auto"/>
        <w:jc w:val="center"/>
      </w:pPr>
      <w:r>
        <w:rPr>
          <w:rFonts w:ascii="Times New Roman" w:hAnsi="Times New Roman"/>
          <w:b/>
          <w:i/>
          <w:color w:val="4A5568"/>
          <w:sz w:val="21"/>
        </w:rPr>
        <w:t>Figure 2: Data Flow Diagram (DFD) Level 0 — Context Diagram</w:t>
      </w:r>
    </w:p>
    <w:p>
      <w:pPr>
        <w:spacing w:before="200" w:after="80" w:line="360" w:lineRule="auto"/>
        <w:jc w:val="left"/>
      </w:pPr>
      <w:r>
        <w:rPr>
          <w:rFonts w:ascii="Times New Roman" w:hAnsi="Times New Roman"/>
          <w:b/>
          <w:color w:val="2B6CB0"/>
          <w:sz w:val="28"/>
        </w:rPr>
        <w:t>3.3 Data Flow Diagram (DFD) Level 1: Core Process Decomposition</w:t>
      </w:r>
    </w:p>
    <w:p>
      <w:pPr>
        <w:spacing w:before="0" w:after="120" w:line="360" w:lineRule="auto"/>
        <w:jc w:val="both"/>
      </w:pPr>
      <w:r>
        <w:rPr>
          <w:rFonts w:ascii="Times New Roman" w:hAnsi="Times New Roman"/>
          <w:sz w:val="24"/>
        </w:rPr>
        <w:t>The Level 1 DFD decomposes the central system into five core functional sub-processes: Process 1.0 (Identity &amp; Role-Based Access Control), Process 2.0 (Catalog &amp; 3D Interactive Customization), Process 3.0 (AI Multimodal Sizing &amp; Outfit Analysis), Process 4.0 (Cart, Checkout &amp; Order Fulfillment), and Process 5.0 (Procurement Capital &amp; Financial Ledger). Data stores D1 (Products), D2 (Orders), and D3 (Capital Logs) maintain persistent state.</w:t>
      </w:r>
    </w:p>
    <w:p>
      <w:pPr>
        <w:spacing w:before="160" w:after="40"/>
        <w:jc w:val="center"/>
      </w:pPr>
      <w:r>
        <w:drawing>
          <wp:inline xmlns:a="http://schemas.openxmlformats.org/drawingml/2006/main" xmlns:pic="http://schemas.openxmlformats.org/drawingml/2006/picture">
            <wp:extent cx="5669280" cy="3488788"/>
            <wp:docPr id="3" name="Picture 3"/>
            <wp:cNvGraphicFramePr>
              <a:graphicFrameLocks noChangeAspect="1"/>
            </wp:cNvGraphicFramePr>
            <a:graphic>
              <a:graphicData uri="http://schemas.openxmlformats.org/drawingml/2006/picture">
                <pic:pic>
                  <pic:nvPicPr>
                    <pic:cNvPr id="0" name="dfd_level1.png"/>
                    <pic:cNvPicPr/>
                  </pic:nvPicPr>
                  <pic:blipFill>
                    <a:blip r:embed="rId12"/>
                    <a:stretch>
                      <a:fillRect/>
                    </a:stretch>
                  </pic:blipFill>
                  <pic:spPr>
                    <a:xfrm>
                      <a:off x="0" y="0"/>
                      <a:ext cx="5669280" cy="3488788"/>
                    </a:xfrm>
                    <a:prstGeom prst="rect"/>
                  </pic:spPr>
                </pic:pic>
              </a:graphicData>
            </a:graphic>
          </wp:inline>
        </w:drawing>
      </w:r>
    </w:p>
    <w:p>
      <w:pPr>
        <w:spacing w:before="40" w:after="200" w:line="360" w:lineRule="auto"/>
        <w:jc w:val="center"/>
      </w:pPr>
      <w:r>
        <w:rPr>
          <w:rFonts w:ascii="Times New Roman" w:hAnsi="Times New Roman"/>
          <w:b/>
          <w:i/>
          <w:color w:val="4A5568"/>
          <w:sz w:val="21"/>
        </w:rPr>
        <w:t>Figure 3: Data Flow Diagram (DFD) Level 1 — Core Process Decomposition</w:t>
      </w:r>
    </w:p>
    <w:p>
      <w:pPr>
        <w:spacing w:before="200" w:after="80" w:line="360" w:lineRule="auto"/>
        <w:jc w:val="left"/>
      </w:pPr>
      <w:r>
        <w:rPr>
          <w:rFonts w:ascii="Times New Roman" w:hAnsi="Times New Roman"/>
          <w:b/>
          <w:color w:val="2B6CB0"/>
          <w:sz w:val="28"/>
        </w:rPr>
        <w:t>3.4 Data Flow Diagram (DFD) Level 2: AI Foot Sizing Subsystem</w:t>
      </w:r>
    </w:p>
    <w:p>
      <w:pPr>
        <w:spacing w:before="0" w:after="120" w:line="360" w:lineRule="auto"/>
        <w:jc w:val="both"/>
      </w:pPr>
      <w:r>
        <w:rPr>
          <w:rFonts w:ascii="Times New Roman" w:hAnsi="Times New Roman"/>
          <w:sz w:val="24"/>
        </w:rPr>
        <w:t>The Level 2 DFD details the computer vision pipeline of Process 3.0. Raw RGB imagery is captured alongside a standard A4 reference sheet (210mm x 297mm). The image passes through Sub-process 3.1 (A4 Homography Calibration) to compute real-world pixel-to-millimeter ratios, Sub-process 3.2 (Foot Contour Extraction) to isolate the foot boundary, Sub-process 3.3 (Metric Calculation) to measure total heel-to-toe length, and Sub-process 3.4 (Size Classification) to query size rules and output the precise Pakistani/UK size (7-13).</w:t>
      </w:r>
    </w:p>
    <w:p>
      <w:pPr>
        <w:spacing w:before="160" w:after="4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dfd_level2_ai.png"/>
                    <pic:cNvPicPr/>
                  </pic:nvPicPr>
                  <pic:blipFill>
                    <a:blip r:embed="rId13"/>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4A5568"/>
          <w:sz w:val="21"/>
        </w:rPr>
        <w:t>Figure 4: Data Flow Diagram (DFD) Level 2 — AI Foot Sizing Subsystem</w:t>
      </w:r>
    </w:p>
    <w:p>
      <w:r>
        <w:br w:type="page"/>
      </w:r>
    </w:p>
    <w:p>
      <w:pPr>
        <w:spacing w:before="280" w:after="120" w:line="360" w:lineRule="auto"/>
        <w:jc w:val="left"/>
      </w:pPr>
      <w:r>
        <w:rPr>
          <w:rFonts w:ascii="Times New Roman" w:hAnsi="Times New Roman"/>
          <w:b/>
          <w:color w:val="1A365D"/>
          <w:sz w:val="32"/>
        </w:rPr>
        <w:t>Chapter 4: Use Case Analysis &amp; Functional Requirements</w:t>
      </w:r>
    </w:p>
    <w:p>
      <w:pPr>
        <w:spacing w:before="200" w:after="80" w:line="360" w:lineRule="auto"/>
        <w:jc w:val="left"/>
      </w:pPr>
      <w:r>
        <w:rPr>
          <w:rFonts w:ascii="Times New Roman" w:hAnsi="Times New Roman"/>
          <w:b/>
          <w:color w:val="2B6CB0"/>
          <w:sz w:val="28"/>
        </w:rPr>
        <w:t>4.1 UML Use Case Diagram</w:t>
      </w:r>
    </w:p>
    <w:p>
      <w:pPr>
        <w:spacing w:before="0" w:after="120" w:line="360" w:lineRule="auto"/>
        <w:jc w:val="both"/>
      </w:pPr>
      <w:r>
        <w:rPr>
          <w:rFonts w:ascii="Times New Roman" w:hAnsi="Times New Roman"/>
          <w:sz w:val="24"/>
        </w:rPr>
        <w:t>The UML Use Case Diagram depicts the operational relationships between primary actors (Customer, Super Administrator, Store Manager) and the platform's core functional capabilities within the system boundary.</w:t>
      </w:r>
    </w:p>
    <w:p>
      <w:pPr>
        <w:spacing w:before="160" w:after="40"/>
        <w:jc w:val="center"/>
      </w:pPr>
      <w:r>
        <w:drawing>
          <wp:inline xmlns:a="http://schemas.openxmlformats.org/drawingml/2006/main" xmlns:pic="http://schemas.openxmlformats.org/drawingml/2006/picture">
            <wp:extent cx="5669280" cy="4015740"/>
            <wp:docPr id="5" name="Picture 5"/>
            <wp:cNvGraphicFramePr>
              <a:graphicFrameLocks noChangeAspect="1"/>
            </wp:cNvGraphicFramePr>
            <a:graphic>
              <a:graphicData uri="http://schemas.openxmlformats.org/drawingml/2006/picture">
                <pic:pic>
                  <pic:nvPicPr>
                    <pic:cNvPr id="0" name="usecase_diagram.png"/>
                    <pic:cNvPicPr/>
                  </pic:nvPicPr>
                  <pic:blipFill>
                    <a:blip r:embed="rId14"/>
                    <a:stretch>
                      <a:fillRect/>
                    </a:stretch>
                  </pic:blipFill>
                  <pic:spPr>
                    <a:xfrm>
                      <a:off x="0" y="0"/>
                      <a:ext cx="5669280" cy="4015740"/>
                    </a:xfrm>
                    <a:prstGeom prst="rect"/>
                  </pic:spPr>
                </pic:pic>
              </a:graphicData>
            </a:graphic>
          </wp:inline>
        </w:drawing>
      </w:r>
    </w:p>
    <w:p>
      <w:pPr>
        <w:spacing w:before="40" w:after="200" w:line="360" w:lineRule="auto"/>
        <w:jc w:val="center"/>
      </w:pPr>
      <w:r>
        <w:rPr>
          <w:rFonts w:ascii="Times New Roman" w:hAnsi="Times New Roman"/>
          <w:b/>
          <w:i/>
          <w:color w:val="4A5568"/>
          <w:sz w:val="21"/>
        </w:rPr>
        <w:t>Figure 5: Complete UML Use Case Diagram</w:t>
      </w:r>
    </w:p>
    <w:p>
      <w:pPr>
        <w:spacing w:before="200" w:after="80" w:line="360" w:lineRule="auto"/>
        <w:jc w:val="left"/>
      </w:pPr>
      <w:r>
        <w:rPr>
          <w:rFonts w:ascii="Times New Roman" w:hAnsi="Times New Roman"/>
          <w:b/>
          <w:color w:val="2B6CB0"/>
          <w:sz w:val="28"/>
        </w:rPr>
        <w:t>4.2 Use Case Specifications</w:t>
      </w:r>
    </w:p>
    <w:p>
      <w:pPr>
        <w:spacing w:before="160" w:after="60" w:line="360" w:lineRule="auto"/>
        <w:jc w:val="left"/>
      </w:pPr>
      <w:r>
        <w:rPr>
          <w:rFonts w:ascii="Times New Roman" w:hAnsi="Times New Roman"/>
          <w:b/>
          <w:color w:val="2D3748"/>
          <w:sz w:val="24"/>
        </w:rPr>
        <w:t>Use Case UC-01: Multimodal Product AI Auto-Fill</w:t>
      </w:r>
    </w:p>
    <w:tbl>
      <w:tblPr>
        <w:tblW w:type="auto" w:w="0"/>
        <w:jc w:val="center"/>
        <w:tblLook w:firstColumn="1" w:firstRow="1" w:lastColumn="0" w:lastRow="0" w:noHBand="0" w:noVBand="1" w:val="04A0"/>
      </w:tblPr>
      <w:tblGrid>
        <w:gridCol w:w="4514"/>
        <w:gridCol w:w="4514"/>
      </w:tblGrid>
      <w:tr>
        <w:tc>
          <w:tcPr>
            <w:tcW w:type="dxa" w:w="259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Field</w:t>
            </w:r>
          </w:p>
        </w:tc>
        <w:tc>
          <w:tcPr>
            <w:tcW w:type="dxa" w:w="6336"/>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Specification</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Use Case ID &amp; Name</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UC-01: Multimodal Product AI Auto-Fill</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Primary Actor</w:t>
            </w:r>
          </w:p>
        </w:tc>
        <w:tc>
          <w:tcPr>
            <w:tcW w:type="dxa" w:w="633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Super Administrator / Store Manager</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Preconditions</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User is authenticated with admin privileges and has uploaded a product photograph.</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Main Flow</w:t>
            </w:r>
          </w:p>
        </w:tc>
        <w:tc>
          <w:tcPr>
            <w:tcW w:type="dxa" w:w="633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1. Admin selects a product photograph and clicks 'Auto-Fill Details with Gemini AI'.</w:t>
              <w:br/>
              <w:t>2. Backend encodes image to Base64 and executes Tier 1 Gemini 3.6 Flash vision prompt.</w:t>
              <w:br/>
              <w:t>3. Model extracts cultural title, subtitle, description, leather color name, hex code, and features.</w:t>
              <w:br/>
              <w:t>4. Backend strictly strips any hallucinated price keys.</w:t>
              <w:br/>
              <w:t>5. Frontend auto-populates all form inputs and adds the detected color swatch.</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Alternate Flow (A1)</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If Tier 1 Gemini hits Rate Limit (HTTP 429), backend automatically executes Tier 2 Experiential Labs AI Gateway.</w:t>
              <w:br/>
              <w:t>If Tier 2 is locked, backend invokes Tier 3 Heuristic Catalog Intelligence, guaranteeing 100% zero-downtime auto-fill.</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Postconditions</w:t>
            </w:r>
          </w:p>
        </w:tc>
        <w:tc>
          <w:tcPr>
            <w:tcW w:type="dxa" w:w="633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Product form is populated with authentic details without altering manual pricing.</w:t>
            </w:r>
          </w:p>
        </w:tc>
      </w:tr>
    </w:tbl>
    <w:p>
      <w:pPr>
        <w:spacing w:after="160"/>
      </w:pPr>
    </w:p>
    <w:p>
      <w:pPr>
        <w:spacing w:before="160" w:after="60" w:line="360" w:lineRule="auto"/>
        <w:jc w:val="left"/>
      </w:pPr>
      <w:r>
        <w:rPr>
          <w:rFonts w:ascii="Times New Roman" w:hAnsi="Times New Roman"/>
          <w:b/>
          <w:color w:val="2D3748"/>
          <w:sz w:val="24"/>
        </w:rPr>
        <w:t>Use Case UC-02: AI Multimodal Foot Size Measurement</w:t>
      </w:r>
    </w:p>
    <w:tbl>
      <w:tblPr>
        <w:tblW w:type="auto" w:w="0"/>
        <w:jc w:val="center"/>
        <w:tblLook w:firstColumn="1" w:firstRow="1" w:lastColumn="0" w:lastRow="0" w:noHBand="0" w:noVBand="1" w:val="04A0"/>
      </w:tblPr>
      <w:tblGrid>
        <w:gridCol w:w="4514"/>
        <w:gridCol w:w="4514"/>
      </w:tblGrid>
      <w:tr>
        <w:tc>
          <w:tcPr>
            <w:tcW w:type="dxa" w:w="259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Field</w:t>
            </w:r>
          </w:p>
        </w:tc>
        <w:tc>
          <w:tcPr>
            <w:tcW w:type="dxa" w:w="6336"/>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Specification</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Use Case ID &amp; Name</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UC-02: AI Multimodal Foot Size Measurement</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Primary Actor</w:t>
            </w:r>
          </w:p>
        </w:tc>
        <w:tc>
          <w:tcPr>
            <w:tcW w:type="dxa" w:w="633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Customer</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Preconditions</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Customer is on the Foot Size Finder page and has camera/upload access.</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Main Flow</w:t>
            </w:r>
          </w:p>
        </w:tc>
        <w:tc>
          <w:tcPr>
            <w:tcW w:type="dxa" w:w="633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1. Customer places foot on standard A4 paper and captures a top-down photograph.</w:t>
              <w:br/>
              <w:t>2. System detects paper corners, computes homography matrix, and derives scale factor.</w:t>
              <w:br/>
              <w:t>3. Foot contour is segmented from background and extreme heel/toe keypoints are located.</w:t>
              <w:br/>
              <w:t>4. Length is mapped to Pakistani/UK standard sizes [7..13] and recommended to user.</w:t>
              <w:br/>
              <w:t>5. Customer clicks 'Apply Size to Catalog' to filter relevant inventory instantly.</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Postconditions</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Accurate foot measurement in millimeters and standardized size are saved to session.</w:t>
            </w:r>
          </w:p>
        </w:tc>
      </w:tr>
    </w:tbl>
    <w:p>
      <w:pPr>
        <w:spacing w:after="160"/>
      </w:pPr>
    </w:p>
    <w:p>
      <w:pPr>
        <w:spacing w:before="160" w:after="60" w:line="360" w:lineRule="auto"/>
        <w:jc w:val="left"/>
      </w:pPr>
      <w:r>
        <w:rPr>
          <w:rFonts w:ascii="Times New Roman" w:hAnsi="Times New Roman"/>
          <w:b/>
          <w:color w:val="2D3748"/>
          <w:sz w:val="24"/>
        </w:rPr>
        <w:t>Use Case UC-03: Manage Supplier Procurement Capital</w:t>
      </w:r>
    </w:p>
    <w:tbl>
      <w:tblPr>
        <w:tblW w:type="auto" w:w="0"/>
        <w:jc w:val="center"/>
        <w:tblLook w:firstColumn="1" w:firstRow="1" w:lastColumn="0" w:lastRow="0" w:noHBand="0" w:noVBand="1" w:val="04A0"/>
      </w:tblPr>
      <w:tblGrid>
        <w:gridCol w:w="4514"/>
        <w:gridCol w:w="4514"/>
      </w:tblGrid>
      <w:tr>
        <w:tc>
          <w:tcPr>
            <w:tcW w:type="dxa" w:w="259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Field</w:t>
            </w:r>
          </w:p>
        </w:tc>
        <w:tc>
          <w:tcPr>
            <w:tcW w:type="dxa" w:w="6336"/>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Specification</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Use Case ID &amp; Name</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UC-03: Manage Supplier Procurement Capital</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Primary Actor</w:t>
            </w:r>
          </w:p>
        </w:tc>
        <w:tc>
          <w:tcPr>
            <w:tcW w:type="dxa" w:w="633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Super Administrator</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Preconditions</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User is logged in as Super Administrator on the Admin Portal.</w:t>
            </w:r>
          </w:p>
        </w:tc>
      </w:tr>
      <w:tr>
        <w:tc>
          <w:tcPr>
            <w:tcW w:type="dxa" w:w="259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Main Flow</w:t>
            </w:r>
          </w:p>
        </w:tc>
        <w:tc>
          <w:tcPr>
            <w:tcW w:type="dxa" w:w="633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1. Admin navigates to the 'Investments &amp; Capital' tab.</w:t>
              <w:br/>
              <w:t>2. System queries live product inventory (105 pairs) and computes total wholesale capital.</w:t>
              <w:br/>
              <w:t>3. Admin chooses an action: Add Capital, Deduct Capital, Set Fixed Budget, or Auto-Sync with Inventory.</w:t>
              <w:br/>
              <w:t>4. Admin enters amount and audit note (e.g., 'Procured 15 pairs at Rs. 1500 from Charsadda').</w:t>
              <w:br/>
              <w:t>5. System appends an immutable log entry and updates the isolated ledger.</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Postconditions</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Procurement ledger is updated with full audit trail completely separated from sales revenue.</w:t>
            </w:r>
          </w:p>
        </w:tc>
      </w:tr>
    </w:tbl>
    <w:p>
      <w:r>
        <w:br w:type="page"/>
      </w:r>
    </w:p>
    <w:p>
      <w:pPr>
        <w:spacing w:before="200" w:after="80" w:line="360" w:lineRule="auto"/>
        <w:jc w:val="left"/>
      </w:pPr>
      <w:r>
        <w:rPr>
          <w:rFonts w:ascii="Times New Roman" w:hAnsi="Times New Roman"/>
          <w:b/>
          <w:color w:val="2B6CB0"/>
          <w:sz w:val="28"/>
        </w:rPr>
        <w:t>4.3 Functional Requirements Catalog</w:t>
      </w:r>
    </w:p>
    <w:tbl>
      <w:tblPr>
        <w:tblW w:type="auto" w:w="0"/>
        <w:jc w:val="center"/>
        <w:tblLook w:firstColumn="1" w:firstRow="1" w:lastColumn="0" w:lastRow="0" w:noHBand="0" w:noVBand="1" w:val="04A0"/>
      </w:tblPr>
      <w:tblGrid>
        <w:gridCol w:w="2257"/>
        <w:gridCol w:w="2257"/>
        <w:gridCol w:w="2257"/>
        <w:gridCol w:w="2257"/>
      </w:tblGrid>
      <w:tr>
        <w:tc>
          <w:tcPr>
            <w:tcW w:type="dxa" w:w="144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Req ID</w:t>
            </w:r>
          </w:p>
        </w:tc>
        <w:tc>
          <w:tcPr>
            <w:tcW w:type="dxa" w:w="172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Module</w:t>
            </w:r>
          </w:p>
        </w:tc>
        <w:tc>
          <w:tcPr>
            <w:tcW w:type="dxa" w:w="4896"/>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Functional Requirement Description</w:t>
            </w:r>
          </w:p>
        </w:tc>
        <w:tc>
          <w:tcPr>
            <w:tcW w:type="dxa" w:w="115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Priority</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FR-01</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Catalog</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display all active products with title, subtitle, leather color, and formatted PKR price.</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FR-02</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Catalog</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support size filtering strictly constrained to Pakistani/UK numbers 7 to 13.</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FR-03</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3D Canvas</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render an interactive 3D mesh chappal allowing 360-degree rotation and zoom.</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FR-04</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3D Canvas</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dynamically update 3D upper leather texture when custom colors are selected.</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Medium</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FR-05</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AI Sizing</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capture camera images and calibrate pixel scale using an A4 reference sheet.</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FR-06</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AI Sizing</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compute foot length in millimeters and classify into sizes 7, 8, 9, 10, 11, 12, or 13.</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FR-07</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AI Outfit</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extract dominant outfit color and recommend complementary leather shades.</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Medium</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FR-08</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Cart</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allow adding products with specific size and color, persisting items in local storage.</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FR-09</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Checkout</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process Cash on Delivery (COD) orders with shipping details and order notes.</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FR-10</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Tracking</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provide real-time order tracking steps (Placed, Confirmed, Crafting, Shipped, Delivered).</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FR-11</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AI Auto-Fill</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analyze product photos with Gemini 3.6 Flash to extract cultural names and specs.</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FR-12</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AI Auto-Fill</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failover to Experiential Labs Gateway (xpl_ key) if Gemini hits rate limits.</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FR-13</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AI Auto-Fill</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strictly strip all price fields from AI outputs to prevent price tampering.</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Critical</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FR-14</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Capital</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maintain an isolated Supplier Product Budget ledger independent of sales revenue.</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FR-15</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Capital</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support manual capital addition, deduction, fixed set, and live inventory sync.</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FR-16</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Security</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restrict administrative endpoints using signed JSON Web Tokens (JWT).</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Critical</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FR-17</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Admin</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support Superadmin and Manager role delegation with audit logging.</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FR-18</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Data Sync</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automatically sync disk catalog records (products.json) into MongoDB Atlas on startup.</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FR-19</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Branding</w:t>
            </w:r>
          </w:p>
        </w:tc>
        <w:tc>
          <w:tcPr>
            <w:tcW w:type="dxa" w:w="48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support uploading custom store logos, favicons, and hero video/image media.</w:t>
            </w:r>
          </w:p>
        </w:tc>
        <w:tc>
          <w:tcPr>
            <w:tcW w:type="dxa" w:w="115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Medium</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FR-20</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Analytics</w:t>
            </w:r>
          </w:p>
        </w:tc>
        <w:tc>
          <w:tcPr>
            <w:tcW w:type="dxa" w:w="48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System shall generate exportable CSV files and PDF-ready KDM investment statements.</w:t>
            </w:r>
          </w:p>
        </w:tc>
        <w:tc>
          <w:tcPr>
            <w:tcW w:type="dxa" w:w="115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High</w:t>
            </w:r>
          </w:p>
        </w:tc>
      </w:tr>
    </w:tbl>
    <w:p>
      <w:r>
        <w:br w:type="page"/>
      </w:r>
    </w:p>
    <w:p>
      <w:pPr>
        <w:spacing w:before="280" w:after="120" w:line="360" w:lineRule="auto"/>
        <w:jc w:val="left"/>
      </w:pPr>
      <w:r>
        <w:rPr>
          <w:rFonts w:ascii="Times New Roman" w:hAnsi="Times New Roman"/>
          <w:b/>
          <w:color w:val="1A365D"/>
          <w:sz w:val="32"/>
        </w:rPr>
        <w:t>Chapter 5: Data Design &amp; Entity-Relationship Specifications</w:t>
      </w:r>
    </w:p>
    <w:p>
      <w:pPr>
        <w:spacing w:before="200" w:after="80" w:line="360" w:lineRule="auto"/>
        <w:jc w:val="left"/>
      </w:pPr>
      <w:r>
        <w:rPr>
          <w:rFonts w:ascii="Times New Roman" w:hAnsi="Times New Roman"/>
          <w:b/>
          <w:color w:val="2B6CB0"/>
          <w:sz w:val="28"/>
        </w:rPr>
        <w:t>5.1 Entity-Relationship Diagram (ERD)</w:t>
      </w:r>
    </w:p>
    <w:p>
      <w:pPr>
        <w:spacing w:before="0" w:after="120" w:line="360" w:lineRule="auto"/>
        <w:jc w:val="both"/>
      </w:pPr>
      <w:r>
        <w:rPr>
          <w:rFonts w:ascii="Times New Roman" w:hAnsi="Times New Roman"/>
          <w:sz w:val="24"/>
        </w:rPr>
        <w:t>The Entity-Relationship Diagram defines the conceptual schema, entity attributes, primary/foreign key constraints, and relational cardinalities governing the database architecture.</w:t>
      </w:r>
    </w:p>
    <w:p>
      <w:pPr>
        <w:spacing w:before="160" w:after="40"/>
        <w:jc w:val="center"/>
      </w:pPr>
      <w:r>
        <w:drawing>
          <wp:inline xmlns:a="http://schemas.openxmlformats.org/drawingml/2006/main" xmlns:pic="http://schemas.openxmlformats.org/drawingml/2006/picture">
            <wp:extent cx="5669280" cy="3488788"/>
            <wp:docPr id="6" name="Picture 6"/>
            <wp:cNvGraphicFramePr>
              <a:graphicFrameLocks noChangeAspect="1"/>
            </wp:cNvGraphicFramePr>
            <a:graphic>
              <a:graphicData uri="http://schemas.openxmlformats.org/drawingml/2006/picture">
                <pic:pic>
                  <pic:nvPicPr>
                    <pic:cNvPr id="0" name="erd_diagram.png"/>
                    <pic:cNvPicPr/>
                  </pic:nvPicPr>
                  <pic:blipFill>
                    <a:blip r:embed="rId15"/>
                    <a:stretch>
                      <a:fillRect/>
                    </a:stretch>
                  </pic:blipFill>
                  <pic:spPr>
                    <a:xfrm>
                      <a:off x="0" y="0"/>
                      <a:ext cx="5669280" cy="3488788"/>
                    </a:xfrm>
                    <a:prstGeom prst="rect"/>
                  </pic:spPr>
                </pic:pic>
              </a:graphicData>
            </a:graphic>
          </wp:inline>
        </w:drawing>
      </w:r>
    </w:p>
    <w:p>
      <w:pPr>
        <w:spacing w:before="40" w:after="200" w:line="360" w:lineRule="auto"/>
        <w:jc w:val="center"/>
      </w:pPr>
      <w:r>
        <w:rPr>
          <w:rFonts w:ascii="Times New Roman" w:hAnsi="Times New Roman"/>
          <w:b/>
          <w:i/>
          <w:color w:val="4A5568"/>
          <w:sz w:val="21"/>
        </w:rPr>
        <w:t>Figure 6: Complete Entity-Relationship Diagram (ERD) with Field Constraints</w:t>
      </w:r>
    </w:p>
    <w:p>
      <w:pPr>
        <w:spacing w:before="200" w:after="80" w:line="360" w:lineRule="auto"/>
        <w:jc w:val="left"/>
      </w:pPr>
      <w:r>
        <w:rPr>
          <w:rFonts w:ascii="Times New Roman" w:hAnsi="Times New Roman"/>
          <w:b/>
          <w:color w:val="2B6CB0"/>
          <w:sz w:val="28"/>
        </w:rPr>
        <w:t>5.2 Database Data Dictionaries</w:t>
      </w:r>
    </w:p>
    <w:p>
      <w:pPr>
        <w:spacing w:before="160" w:after="60" w:line="360" w:lineRule="auto"/>
        <w:jc w:val="left"/>
      </w:pPr>
      <w:r>
        <w:rPr>
          <w:rFonts w:ascii="Times New Roman" w:hAnsi="Times New Roman"/>
          <w:b/>
          <w:color w:val="2D3748"/>
          <w:sz w:val="24"/>
        </w:rPr>
        <w:t>Table 5.1: Product Collection Data Dictionary</w:t>
      </w:r>
    </w:p>
    <w:tbl>
      <w:tblPr>
        <w:tblW w:type="auto" w:w="0"/>
        <w:jc w:val="center"/>
        <w:tblLook w:firstColumn="1" w:firstRow="1" w:lastColumn="0" w:lastRow="0" w:noHBand="0" w:noVBand="1" w:val="04A0"/>
      </w:tblPr>
      <w:tblGrid>
        <w:gridCol w:w="1806"/>
        <w:gridCol w:w="1806"/>
        <w:gridCol w:w="1806"/>
        <w:gridCol w:w="1806"/>
        <w:gridCol w:w="1806"/>
      </w:tblGrid>
      <w:tr>
        <w:tc>
          <w:tcPr>
            <w:tcW w:type="dxa" w:w="1584"/>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Field Name</w:t>
            </w:r>
          </w:p>
        </w:tc>
        <w:tc>
          <w:tcPr>
            <w:tcW w:type="dxa" w:w="1584"/>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Data Type</w:t>
            </w:r>
          </w:p>
        </w:tc>
        <w:tc>
          <w:tcPr>
            <w:tcW w:type="dxa" w:w="187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Constraint</w:t>
            </w:r>
          </w:p>
        </w:tc>
        <w:tc>
          <w:tcPr>
            <w:tcW w:type="dxa" w:w="172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Default</w:t>
            </w:r>
          </w:p>
        </w:tc>
        <w:tc>
          <w:tcPr>
            <w:tcW w:type="dxa" w:w="244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Description</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id</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String</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PK, Unique, Not Null</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UUID / prod-timestamp</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Unique identifier for product record.</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name</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String</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Required, Indexed</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None</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Prestigious cultural title (e.g. Royal Kaptaan).</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slug</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String</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Unique, Required</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slugify(name)</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URL-friendly route slug.</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price</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Number</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Required, Positive</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None</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Customer retail selling price in PKR.</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costPrice</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Number</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Required, Non-negative</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0</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Artisan wholesale buying cost from supplier.</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category</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String</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FK -&gt; Category.name</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General</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Footwear classification category.</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availableSizes</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Array[Number]</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Elements in [7..13]</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[7,8,9,10,11,12,13]</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Supported Pakistani/UK whole sizes.</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availableColors</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Array[String]</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Valid Color Slugs</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['saddle-tan']</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Available upper leather color variants.</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stockCount</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Number</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Non-negative</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100</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Live available units in stock.</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images</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Object</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Embedded JSON</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 front: '', gallery: [] }</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Primary and gallery image URLs.</w:t>
            </w:r>
          </w:p>
        </w:tc>
      </w:tr>
    </w:tbl>
    <w:p>
      <w:pPr>
        <w:spacing w:after="160"/>
      </w:pPr>
    </w:p>
    <w:p>
      <w:pPr>
        <w:spacing w:before="160" w:after="60" w:line="360" w:lineRule="auto"/>
        <w:jc w:val="left"/>
      </w:pPr>
      <w:r>
        <w:rPr>
          <w:rFonts w:ascii="Times New Roman" w:hAnsi="Times New Roman"/>
          <w:b/>
          <w:color w:val="2D3748"/>
          <w:sz w:val="24"/>
        </w:rPr>
        <w:t>Table 5.2: Order Collection Data Dictionary</w:t>
      </w:r>
    </w:p>
    <w:tbl>
      <w:tblPr>
        <w:tblW w:type="auto" w:w="0"/>
        <w:jc w:val="center"/>
        <w:tblLook w:firstColumn="1" w:firstRow="1" w:lastColumn="0" w:lastRow="0" w:noHBand="0" w:noVBand="1" w:val="04A0"/>
      </w:tblPr>
      <w:tblGrid>
        <w:gridCol w:w="1806"/>
        <w:gridCol w:w="1806"/>
        <w:gridCol w:w="1806"/>
        <w:gridCol w:w="1806"/>
        <w:gridCol w:w="1806"/>
      </w:tblGrid>
      <w:tr>
        <w:tc>
          <w:tcPr>
            <w:tcW w:type="dxa" w:w="1584"/>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Field Name</w:t>
            </w:r>
          </w:p>
        </w:tc>
        <w:tc>
          <w:tcPr>
            <w:tcW w:type="dxa" w:w="1584"/>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Data Type</w:t>
            </w:r>
          </w:p>
        </w:tc>
        <w:tc>
          <w:tcPr>
            <w:tcW w:type="dxa" w:w="1872"/>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Constraint</w:t>
            </w:r>
          </w:p>
        </w:tc>
        <w:tc>
          <w:tcPr>
            <w:tcW w:type="dxa" w:w="172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Default</w:t>
            </w:r>
          </w:p>
        </w:tc>
        <w:tc>
          <w:tcPr>
            <w:tcW w:type="dxa" w:w="244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Description</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id</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String</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PK, Unique</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UUID / ord-timestamp</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Unique order entity identifier.</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orderNumber</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String</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Unique, Indexed</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PSH-YYYY-XXXX</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Customer-facing human-readable invoice ID.</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items</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Array[Object]</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Embedded Items</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Purchased products, sizes, colors, and quantities.</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shippingAddress</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Object</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Required</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 fullName, phone, city... }</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Consignment recipient delivery coordinates.</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total</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Number</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Required</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0</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Final payable invoice total in PKR.</w:t>
            </w:r>
          </w:p>
        </w:tc>
      </w:tr>
      <w:tr>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status</w:t>
            </w:r>
          </w:p>
        </w:tc>
        <w:tc>
          <w:tcPr>
            <w:tcW w:type="dxa" w:w="158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String</w:t>
            </w:r>
          </w:p>
        </w:tc>
        <w:tc>
          <w:tcPr>
            <w:tcW w:type="dxa" w:w="1872"/>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Enum</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Placed</w:t>
            </w:r>
          </w:p>
        </w:tc>
        <w:tc>
          <w:tcPr>
            <w:tcW w:type="dxa" w:w="244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Placed | Confirmed | Crafting | Shipped | Delivered.</w:t>
            </w:r>
          </w:p>
        </w:tc>
      </w:tr>
      <w:tr>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trackingSteps</w:t>
            </w:r>
          </w:p>
        </w:tc>
        <w:tc>
          <w:tcPr>
            <w:tcW w:type="dxa" w:w="158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Array[Object]</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Timestamped</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w:t>
            </w:r>
          </w:p>
        </w:tc>
        <w:tc>
          <w:tcPr>
            <w:tcW w:type="dxa" w:w="244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Audit milestones with date and status.</w:t>
            </w:r>
          </w:p>
        </w:tc>
      </w:tr>
    </w:tbl>
    <w:p>
      <w:r>
        <w:br w:type="page"/>
      </w:r>
    </w:p>
    <w:p>
      <w:pPr>
        <w:spacing w:before="280" w:after="120" w:line="360" w:lineRule="auto"/>
        <w:jc w:val="left"/>
      </w:pPr>
      <w:r>
        <w:rPr>
          <w:rFonts w:ascii="Times New Roman" w:hAnsi="Times New Roman"/>
          <w:b/>
          <w:color w:val="1A365D"/>
          <w:sz w:val="32"/>
        </w:rPr>
        <w:t>Chapter 6: Dynamic Interaction &amp; Sequence Modeling</w:t>
      </w:r>
    </w:p>
    <w:p>
      <w:pPr>
        <w:spacing w:before="200" w:after="80" w:line="360" w:lineRule="auto"/>
        <w:jc w:val="left"/>
      </w:pPr>
      <w:r>
        <w:rPr>
          <w:rFonts w:ascii="Times New Roman" w:hAnsi="Times New Roman"/>
          <w:b/>
          <w:color w:val="2B6CB0"/>
          <w:sz w:val="28"/>
        </w:rPr>
        <w:t>6.1 Multimodal AI Auto-Fill Cascade</w:t>
      </w:r>
    </w:p>
    <w:p>
      <w:pPr>
        <w:spacing w:before="0" w:after="120" w:line="360" w:lineRule="auto"/>
        <w:jc w:val="both"/>
      </w:pPr>
      <w:r>
        <w:rPr>
          <w:rFonts w:ascii="Times New Roman" w:hAnsi="Times New Roman"/>
          <w:sz w:val="24"/>
        </w:rPr>
        <w:t>Figure 7 illustrates the chronological message exchange for automated product analysis. When an admin uploads an image, the backend executes Tier 1 Gemini 3.6 Flash. If Google returns HTTP 429 (Rate Limit Exceeded), the backend fails over to Tier 2 Experiential Labs AI Gateway. Before returning the payload, the backend sanitizes the JSON to guarantee no pricing attributes are leaked.</w:t>
      </w:r>
    </w:p>
    <w:p>
      <w:pPr>
        <w:spacing w:before="160"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seq_diagram_ai.png"/>
                    <pic:cNvPicPr/>
                  </pic:nvPicPr>
                  <pic:blipFill>
                    <a:blip r:embed="rId16"/>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4A5568"/>
          <w:sz w:val="21"/>
        </w:rPr>
        <w:t>Figure 7: UML Sequence Diagram — Multimodal AI Auto-Fill Cascade</w:t>
      </w:r>
    </w:p>
    <w:p>
      <w:pPr>
        <w:spacing w:before="200" w:after="80" w:line="360" w:lineRule="auto"/>
        <w:jc w:val="left"/>
      </w:pPr>
      <w:r>
        <w:rPr>
          <w:rFonts w:ascii="Times New Roman" w:hAnsi="Times New Roman"/>
          <w:b/>
          <w:color w:val="2B6CB0"/>
          <w:sz w:val="28"/>
        </w:rPr>
        <w:t>6.2 Customer Order Placement &amp; Inventory Deduction</w:t>
      </w:r>
    </w:p>
    <w:p>
      <w:pPr>
        <w:spacing w:before="0" w:after="120" w:line="360" w:lineRule="auto"/>
        <w:jc w:val="both"/>
      </w:pPr>
      <w:r>
        <w:rPr>
          <w:rFonts w:ascii="Times New Roman" w:hAnsi="Times New Roman"/>
          <w:sz w:val="24"/>
        </w:rPr>
        <w:t>Figure 8 captures the customer order submission sequence. The cart submits shipping coordinates and chosen sizes. The Express backend verifies inventory, creates an atomic order record in dual-tier storage, decrements stock count, computes courier logistics steps, and returns the order confirmation with tracking ID.</w:t>
      </w:r>
    </w:p>
    <w:p>
      <w:pPr>
        <w:spacing w:before="160" w:after="4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seq_diagram_order.png"/>
                    <pic:cNvPicPr/>
                  </pic:nvPicPr>
                  <pic:blipFill>
                    <a:blip r:embed="rId17"/>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4A5568"/>
          <w:sz w:val="21"/>
        </w:rPr>
        <w:t>Figure 8: UML Sequence Diagram — Customer Order Checkout &amp; Real-Time Fulfillment Flow</w:t>
      </w:r>
    </w:p>
    <w:p>
      <w:r>
        <w:br w:type="page"/>
      </w:r>
    </w:p>
    <w:p>
      <w:pPr>
        <w:spacing w:before="280" w:after="120" w:line="360" w:lineRule="auto"/>
        <w:jc w:val="left"/>
      </w:pPr>
      <w:r>
        <w:rPr>
          <w:rFonts w:ascii="Times New Roman" w:hAnsi="Times New Roman"/>
          <w:b/>
          <w:color w:val="1A365D"/>
          <w:sz w:val="32"/>
        </w:rPr>
        <w:t>Chapter 7: Non-Functional Requirements &amp; System Qualities</w:t>
      </w:r>
    </w:p>
    <w:p>
      <w:pPr>
        <w:spacing w:before="200" w:after="80" w:line="360" w:lineRule="auto"/>
        <w:jc w:val="left"/>
      </w:pPr>
      <w:r>
        <w:rPr>
          <w:rFonts w:ascii="Times New Roman" w:hAnsi="Times New Roman"/>
          <w:b/>
          <w:color w:val="2B6CB0"/>
          <w:sz w:val="28"/>
        </w:rPr>
        <w:t>7.1 Performance &amp; Scalability Requirements</w:t>
      </w:r>
    </w:p>
    <w:p>
      <w:pPr>
        <w:pStyle w:val="ListBullet"/>
        <w:spacing w:before="0" w:after="80" w:line="360" w:lineRule="auto"/>
        <w:jc w:val="both"/>
      </w:pPr>
      <w:r>
        <w:rPr>
          <w:rFonts w:ascii="Times New Roman" w:hAnsi="Times New Roman"/>
          <w:b/>
          <w:sz w:val="24"/>
        </w:rPr>
        <w:t xml:space="preserve">API Response Time (NFR-01): </w:t>
      </w:r>
      <w:r>
        <w:rPr>
          <w:rFonts w:ascii="Times New Roman" w:hAnsi="Times New Roman"/>
          <w:sz w:val="24"/>
        </w:rPr>
        <w:t>95% of standard REST API endpoints (catalog fetch, category query) must respond within 120 milliseconds under a concurrent load of 500 active users.</w:t>
      </w:r>
    </w:p>
    <w:p>
      <w:pPr>
        <w:pStyle w:val="ListBullet"/>
        <w:spacing w:before="0" w:after="80" w:line="360" w:lineRule="auto"/>
        <w:jc w:val="both"/>
      </w:pPr>
      <w:r>
        <w:rPr>
          <w:rFonts w:ascii="Times New Roman" w:hAnsi="Times New Roman"/>
          <w:b/>
          <w:sz w:val="24"/>
        </w:rPr>
        <w:t xml:space="preserve">3D Canvas Rendering Performance (NFR-02): </w:t>
      </w:r>
      <w:r>
        <w:rPr>
          <w:rFonts w:ascii="Times New Roman" w:hAnsi="Times New Roman"/>
          <w:sz w:val="24"/>
        </w:rPr>
        <w:t>The Three.js WebGL canvas must sustain a minimum frame rate of 55 Frames Per Second (FPS) on mid-tier mobile GPUs without causing UI jank.</w:t>
      </w:r>
    </w:p>
    <w:p>
      <w:pPr>
        <w:pStyle w:val="ListBullet"/>
        <w:spacing w:before="0" w:after="80" w:line="360" w:lineRule="auto"/>
        <w:jc w:val="both"/>
      </w:pPr>
      <w:r>
        <w:rPr>
          <w:rFonts w:ascii="Times New Roman" w:hAnsi="Times New Roman"/>
          <w:b/>
          <w:sz w:val="24"/>
        </w:rPr>
        <w:t xml:space="preserve">AI Auto-Fill Latency (NFR-03): </w:t>
      </w:r>
      <w:r>
        <w:rPr>
          <w:rFonts w:ascii="Times New Roman" w:hAnsi="Times New Roman"/>
          <w:sz w:val="24"/>
        </w:rPr>
        <w:t>Multimodal vision analysis across Tier 1 / Tier 2 must return structured JSON within 3.5 seconds over standard 4G mobile broadband.</w:t>
      </w:r>
    </w:p>
    <w:p>
      <w:pPr>
        <w:spacing w:before="200" w:after="80" w:line="360" w:lineRule="auto"/>
        <w:jc w:val="left"/>
      </w:pPr>
      <w:r>
        <w:rPr>
          <w:rFonts w:ascii="Times New Roman" w:hAnsi="Times New Roman"/>
          <w:b/>
          <w:color w:val="2B6CB0"/>
          <w:sz w:val="28"/>
        </w:rPr>
        <w:t>7.2 Security &amp; Data Integrity Requirements</w:t>
      </w:r>
    </w:p>
    <w:p>
      <w:pPr>
        <w:pStyle w:val="ListBullet"/>
        <w:spacing w:before="0" w:after="80" w:line="360" w:lineRule="auto"/>
        <w:jc w:val="both"/>
      </w:pPr>
      <w:r>
        <w:rPr>
          <w:rFonts w:ascii="Times New Roman" w:hAnsi="Times New Roman"/>
          <w:b/>
          <w:sz w:val="24"/>
        </w:rPr>
        <w:t xml:space="preserve">Cryptographic Password Hashing (NFR-04): </w:t>
      </w:r>
      <w:r>
        <w:rPr>
          <w:rFonts w:ascii="Times New Roman" w:hAnsi="Times New Roman"/>
          <w:sz w:val="24"/>
        </w:rPr>
        <w:t>All admin credentials must be hashed using bcrypt with a minimum work factor (salt rounds) of 10.</w:t>
      </w:r>
    </w:p>
    <w:p>
      <w:pPr>
        <w:pStyle w:val="ListBullet"/>
        <w:spacing w:before="0" w:after="80" w:line="360" w:lineRule="auto"/>
        <w:jc w:val="both"/>
      </w:pPr>
      <w:r>
        <w:rPr>
          <w:rFonts w:ascii="Times New Roman" w:hAnsi="Times New Roman"/>
          <w:b/>
          <w:sz w:val="24"/>
        </w:rPr>
        <w:t xml:space="preserve">Stateless JWT Authentication (NFR-05): </w:t>
      </w:r>
      <w:r>
        <w:rPr>
          <w:rFonts w:ascii="Times New Roman" w:hAnsi="Times New Roman"/>
          <w:sz w:val="24"/>
        </w:rPr>
        <w:t>Admin sessions must be authenticated via signed HMAC-SHA256 JWT tokens with an expiration window of 24 hours.</w:t>
      </w:r>
    </w:p>
    <w:p>
      <w:pPr>
        <w:pStyle w:val="ListBullet"/>
        <w:spacing w:before="0" w:after="80" w:line="360" w:lineRule="auto"/>
        <w:jc w:val="both"/>
      </w:pPr>
      <w:r>
        <w:rPr>
          <w:rFonts w:ascii="Times New Roman" w:hAnsi="Times New Roman"/>
          <w:b/>
          <w:sz w:val="24"/>
        </w:rPr>
        <w:t xml:space="preserve">Pricing Protection (NFR-06): </w:t>
      </w:r>
      <w:r>
        <w:rPr>
          <w:rFonts w:ascii="Times New Roman" w:hAnsi="Times New Roman"/>
          <w:sz w:val="24"/>
        </w:rPr>
        <w:t>Customer storefront APIs must never expose supplier wholesale cost prices (`costPrice`), while admin auto-fill endpoints must strictly reject AI-generated prices.</w:t>
      </w:r>
    </w:p>
    <w:p>
      <w:pPr>
        <w:spacing w:before="200" w:after="80" w:line="360" w:lineRule="auto"/>
        <w:jc w:val="left"/>
      </w:pPr>
      <w:r>
        <w:rPr>
          <w:rFonts w:ascii="Times New Roman" w:hAnsi="Times New Roman"/>
          <w:b/>
          <w:color w:val="2B6CB0"/>
          <w:sz w:val="28"/>
        </w:rPr>
        <w:t>7.3 Reliability &amp; Fault Tolerance</w:t>
      </w:r>
    </w:p>
    <w:p>
      <w:pPr>
        <w:pStyle w:val="ListBullet"/>
        <w:spacing w:before="0" w:after="80" w:line="360" w:lineRule="auto"/>
        <w:jc w:val="both"/>
      </w:pPr>
      <w:r>
        <w:rPr>
          <w:rFonts w:ascii="Times New Roman" w:hAnsi="Times New Roman"/>
          <w:b/>
          <w:sz w:val="24"/>
        </w:rPr>
        <w:t xml:space="preserve">Zero-Downtime Multi-Tier AI Cascade (NFR-07): </w:t>
      </w:r>
      <w:r>
        <w:rPr>
          <w:rFonts w:ascii="Times New Roman" w:hAnsi="Times New Roman"/>
          <w:sz w:val="24"/>
        </w:rPr>
        <w:t>If both Gemini and Experiential APIs are unreachable, the system must trigger its Tier 3 local catalog heuristic engine with 100% success rate and zero user-facing error alerts.</w:t>
      </w:r>
    </w:p>
    <w:p>
      <w:pPr>
        <w:pStyle w:val="ListBullet"/>
        <w:spacing w:before="0" w:after="80" w:line="360" w:lineRule="auto"/>
        <w:jc w:val="both"/>
      </w:pPr>
      <w:r>
        <w:rPr>
          <w:rFonts w:ascii="Times New Roman" w:hAnsi="Times New Roman"/>
          <w:b/>
          <w:sz w:val="24"/>
        </w:rPr>
        <w:t xml:space="preserve">Dual-Storage Resilience (NFR-08): </w:t>
      </w:r>
      <w:r>
        <w:rPr>
          <w:rFonts w:ascii="Times New Roman" w:hAnsi="Times New Roman"/>
          <w:sz w:val="24"/>
        </w:rPr>
        <w:t>All product and settings modifications must be synchronously mirrored to local JSON files (`products.json`, `settings.json`) to safeguard against database connection dropouts.</w:t>
      </w:r>
    </w:p>
    <w:p>
      <w:r>
        <w:br w:type="page"/>
      </w:r>
    </w:p>
    <w:p>
      <w:pPr>
        <w:spacing w:before="280" w:after="120" w:line="360" w:lineRule="auto"/>
        <w:jc w:val="left"/>
      </w:pPr>
      <w:r>
        <w:rPr>
          <w:rFonts w:ascii="Times New Roman" w:hAnsi="Times New Roman"/>
          <w:b/>
          <w:color w:val="1A365D"/>
          <w:sz w:val="32"/>
        </w:rPr>
        <w:t>Chapter 8: External Interfaces &amp; RESTful API Catalog</w:t>
      </w:r>
    </w:p>
    <w:p>
      <w:pPr>
        <w:spacing w:before="200" w:after="80" w:line="360" w:lineRule="auto"/>
        <w:jc w:val="left"/>
      </w:pPr>
      <w:r>
        <w:rPr>
          <w:rFonts w:ascii="Times New Roman" w:hAnsi="Times New Roman"/>
          <w:b/>
          <w:color w:val="2B6CB0"/>
          <w:sz w:val="28"/>
        </w:rPr>
        <w:t>8.1 Complete RESTful Endpoints Specification</w:t>
      </w:r>
    </w:p>
    <w:tbl>
      <w:tblPr>
        <w:tblW w:type="auto" w:w="0"/>
        <w:jc w:val="center"/>
        <w:tblLook w:firstColumn="1" w:firstRow="1" w:lastColumn="0" w:lastRow="0" w:noHBand="0" w:noVBand="1" w:val="04A0"/>
      </w:tblPr>
      <w:tblGrid>
        <w:gridCol w:w="2257"/>
        <w:gridCol w:w="2257"/>
        <w:gridCol w:w="2257"/>
        <w:gridCol w:w="2257"/>
      </w:tblGrid>
      <w:tr>
        <w:tc>
          <w:tcPr>
            <w:tcW w:type="dxa" w:w="144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HTTP Method</w:t>
            </w:r>
          </w:p>
        </w:tc>
        <w:tc>
          <w:tcPr>
            <w:tcW w:type="dxa" w:w="316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Endpoint URI</w:t>
            </w:r>
          </w:p>
        </w:tc>
        <w:tc>
          <w:tcPr>
            <w:tcW w:type="dxa" w:w="1728"/>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Auth Level</w:t>
            </w:r>
          </w:p>
        </w:tc>
        <w:tc>
          <w:tcPr>
            <w:tcW w:type="dxa" w:w="288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Primary Function / Description</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GET</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/api/products</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Public</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Retrieve active products (filtered by category if disabled).</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GET</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/api/products/:slug</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Public</w:t>
            </w:r>
          </w:p>
        </w:tc>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Retrieve complete details for a single product by slug/id.</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/api/products</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Admin (JWT)</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Create new handcrafted product with sizes [7..13] and costs.</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PUT</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/api/products/:id</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Admin (JWT)</w:t>
            </w:r>
          </w:p>
        </w:tc>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Update existing product attributes, stock, or price.</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DELETE</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/api/products/:id</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Admin (JWT)</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Soft/hard delete a product record from catalog.</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/api/admin/ai-analyze-product</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Admin</w:t>
            </w:r>
          </w:p>
        </w:tc>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Multimodal vision auto-fill extracting cultural title and specs.</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GET</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/api/admin/supplier-budget</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Public/Admin</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Get live supplier procurement budget and inventory total.</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/api/admin/supplier-budget</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Admin (JWT)</w:t>
            </w:r>
          </w:p>
        </w:tc>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Execute capital action (add, remove, set, sync-inventory).</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/api/admin/sync-database</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Admin (JWT)</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Force synchronization of disk catalog into MongoDB Atlas.</w:t>
            </w:r>
          </w:p>
        </w:tc>
      </w:tr>
      <w:tr>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POST</w:t>
            </w:r>
          </w:p>
        </w:tc>
        <w:tc>
          <w:tcPr>
            <w:tcW w:type="dxa" w:w="316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/api/orders</w:t>
            </w:r>
          </w:p>
        </w:tc>
        <w:tc>
          <w:tcPr>
            <w:tcW w:type="dxa" w:w="1728"/>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Public</w:t>
            </w:r>
          </w:p>
        </w:tc>
        <w:tc>
          <w:tcPr>
            <w:tcW w:type="dxa" w:w="288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Submit customer order with COD and tracking generation.</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GET</w:t>
            </w:r>
          </w:p>
        </w:tc>
        <w:tc>
          <w:tcPr>
            <w:tcW w:type="dxa" w:w="316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/api/orders/:orderNumber</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Public</w:t>
            </w:r>
          </w:p>
        </w:tc>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Retrieve order tracking milestone timeline.</w:t>
            </w:r>
          </w:p>
        </w:tc>
      </w:tr>
    </w:tbl>
    <w:p>
      <w:r>
        <w:br w:type="page"/>
      </w:r>
    </w:p>
    <w:p>
      <w:pPr>
        <w:spacing w:before="280" w:after="120" w:line="360" w:lineRule="auto"/>
        <w:jc w:val="left"/>
      </w:pPr>
      <w:r>
        <w:rPr>
          <w:rFonts w:ascii="Times New Roman" w:hAnsi="Times New Roman"/>
          <w:b/>
          <w:color w:val="1A365D"/>
          <w:sz w:val="32"/>
        </w:rPr>
        <w:t>Chapter 9: Verification, Validation &amp; Traceability Matrix</w:t>
      </w:r>
    </w:p>
    <w:p>
      <w:pPr>
        <w:spacing w:before="200" w:after="80" w:line="360" w:lineRule="auto"/>
        <w:jc w:val="left"/>
      </w:pPr>
      <w:r>
        <w:rPr>
          <w:rFonts w:ascii="Times New Roman" w:hAnsi="Times New Roman"/>
          <w:b/>
          <w:color w:val="2B6CB0"/>
          <w:sz w:val="28"/>
        </w:rPr>
        <w:t>9.1 Requirements Traceability Matrix (RTM)</w:t>
      </w:r>
    </w:p>
    <w:tbl>
      <w:tblPr>
        <w:tblW w:type="auto" w:w="0"/>
        <w:jc w:val="center"/>
        <w:tblLook w:firstColumn="1" w:firstRow="1" w:lastColumn="0" w:lastRow="0" w:noHBand="0" w:noVBand="1" w:val="04A0"/>
      </w:tblPr>
      <w:tblGrid>
        <w:gridCol w:w="1806"/>
        <w:gridCol w:w="1806"/>
        <w:gridCol w:w="1806"/>
        <w:gridCol w:w="1806"/>
        <w:gridCol w:w="1806"/>
      </w:tblGrid>
      <w:tr>
        <w:tc>
          <w:tcPr>
            <w:tcW w:type="dxa" w:w="1296"/>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Req ID</w:t>
            </w:r>
          </w:p>
        </w:tc>
        <w:tc>
          <w:tcPr>
            <w:tcW w:type="dxa" w:w="144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Use Case</w:t>
            </w:r>
          </w:p>
        </w:tc>
        <w:tc>
          <w:tcPr>
            <w:tcW w:type="dxa" w:w="2160"/>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Source Module</w:t>
            </w:r>
          </w:p>
        </w:tc>
        <w:tc>
          <w:tcPr>
            <w:tcW w:type="dxa" w:w="2304"/>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Verification Method</w:t>
            </w:r>
          </w:p>
        </w:tc>
        <w:tc>
          <w:tcPr>
            <w:tcW w:type="dxa" w:w="2016"/>
            <w:shd w:fill="1A365D"/>
            <w:tcMar>
              <w:top w:w="120" w:type="dxa"/>
              <w:bottom w:w="120" w:type="dxa"/>
              <w:left w:w="140" w:type="dxa"/>
              <w:right w:w="140" w:type="dxa"/>
            </w:tcMar>
          </w:tcPr>
          <w:p>
            <w:pPr>
              <w:spacing w:line="276" w:lineRule="auto" w:before="0" w:after="0"/>
              <w:jc w:val="left"/>
            </w:pPr>
            <w:r>
              <w:rPr>
                <w:rFonts w:ascii="Times New Roman" w:hAnsi="Times New Roman"/>
                <w:b/>
                <w:color w:val="FFFFFF"/>
                <w:sz w:val="22"/>
              </w:rPr>
              <w:t>Test Case Status</w:t>
            </w:r>
          </w:p>
        </w:tc>
      </w:tr>
      <w:tr>
        <w:tc>
          <w:tcPr>
            <w:tcW w:type="dxa" w:w="12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FR-01</w:t>
            </w:r>
          </w:p>
        </w:tc>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UC-01</w:t>
            </w:r>
          </w:p>
        </w:tc>
        <w:tc>
          <w:tcPr>
            <w:tcW w:type="dxa" w:w="216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Frontend Catalog</w:t>
            </w:r>
          </w:p>
        </w:tc>
        <w:tc>
          <w:tcPr>
            <w:tcW w:type="dxa" w:w="230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Unit &amp; Visual Inspection</w:t>
            </w:r>
          </w:p>
        </w:tc>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 Verified</w:t>
            </w:r>
          </w:p>
        </w:tc>
      </w:tr>
      <w:tr>
        <w:tc>
          <w:tcPr>
            <w:tcW w:type="dxa" w:w="12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FR-02</w:t>
            </w:r>
          </w:p>
        </w:tc>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UC-01</w:t>
            </w:r>
          </w:p>
        </w:tc>
        <w:tc>
          <w:tcPr>
            <w:tcW w:type="dxa" w:w="216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Filter Service</w:t>
            </w:r>
          </w:p>
        </w:tc>
        <w:tc>
          <w:tcPr>
            <w:tcW w:type="dxa" w:w="230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Automated Range Test</w:t>
            </w:r>
          </w:p>
        </w:tc>
        <w:tc>
          <w:tcPr>
            <w:tcW w:type="dxa" w:w="201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(Strict 7-13)</w:t>
            </w:r>
          </w:p>
        </w:tc>
      </w:tr>
      <w:tr>
        <w:tc>
          <w:tcPr>
            <w:tcW w:type="dxa" w:w="12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FR-03</w:t>
            </w:r>
          </w:p>
        </w:tc>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UC-02</w:t>
            </w:r>
          </w:p>
        </w:tc>
        <w:tc>
          <w:tcPr>
            <w:tcW w:type="dxa" w:w="216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Three.js Canvas</w:t>
            </w:r>
          </w:p>
        </w:tc>
        <w:tc>
          <w:tcPr>
            <w:tcW w:type="dxa" w:w="230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Interactive Render Test</w:t>
            </w:r>
          </w:p>
        </w:tc>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(&gt;55 FPS)</w:t>
            </w:r>
          </w:p>
        </w:tc>
      </w:tr>
      <w:tr>
        <w:tc>
          <w:tcPr>
            <w:tcW w:type="dxa" w:w="12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FR-05</w:t>
            </w:r>
          </w:p>
        </w:tc>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UC-03</w:t>
            </w:r>
          </w:p>
        </w:tc>
        <w:tc>
          <w:tcPr>
            <w:tcW w:type="dxa" w:w="216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OpenCV / A4 Module</w:t>
            </w:r>
          </w:p>
        </w:tc>
        <w:tc>
          <w:tcPr>
            <w:tcW w:type="dxa" w:w="230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Calibration Metric Test</w:t>
            </w:r>
          </w:p>
        </w:tc>
        <w:tc>
          <w:tcPr>
            <w:tcW w:type="dxa" w:w="201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(±1.5mm)</w:t>
            </w:r>
          </w:p>
        </w:tc>
      </w:tr>
      <w:tr>
        <w:tc>
          <w:tcPr>
            <w:tcW w:type="dxa" w:w="12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FR-11</w:t>
            </w:r>
          </w:p>
        </w:tc>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UC-07</w:t>
            </w:r>
          </w:p>
        </w:tc>
        <w:tc>
          <w:tcPr>
            <w:tcW w:type="dxa" w:w="216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Gemini AI Cascade</w:t>
            </w:r>
          </w:p>
        </w:tc>
        <w:tc>
          <w:tcPr>
            <w:tcW w:type="dxa" w:w="230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API Multimodal Test</w:t>
            </w:r>
          </w:p>
        </w:tc>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(JSON Output)</w:t>
            </w:r>
          </w:p>
        </w:tc>
      </w:tr>
      <w:tr>
        <w:tc>
          <w:tcPr>
            <w:tcW w:type="dxa" w:w="12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FR-12</w:t>
            </w:r>
          </w:p>
        </w:tc>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UC-07</w:t>
            </w:r>
          </w:p>
        </w:tc>
        <w:tc>
          <w:tcPr>
            <w:tcW w:type="dxa" w:w="216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Experiential AI</w:t>
            </w:r>
          </w:p>
        </w:tc>
        <w:tc>
          <w:tcPr>
            <w:tcW w:type="dxa" w:w="230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Failover Simulation</w:t>
            </w:r>
          </w:p>
        </w:tc>
        <w:tc>
          <w:tcPr>
            <w:tcW w:type="dxa" w:w="201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(HTTP 429 Mock)</w:t>
            </w:r>
          </w:p>
        </w:tc>
      </w:tr>
      <w:tr>
        <w:tc>
          <w:tcPr>
            <w:tcW w:type="dxa" w:w="12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FR-13</w:t>
            </w:r>
          </w:p>
        </w:tc>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UC-07</w:t>
            </w:r>
          </w:p>
        </w:tc>
        <w:tc>
          <w:tcPr>
            <w:tcW w:type="dxa" w:w="216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Backend Express</w:t>
            </w:r>
          </w:p>
        </w:tc>
        <w:tc>
          <w:tcPr>
            <w:tcW w:type="dxa" w:w="230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Security Sanitization Test</w:t>
            </w:r>
          </w:p>
        </w:tc>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(Zero Pricing)</w:t>
            </w:r>
          </w:p>
        </w:tc>
      </w:tr>
      <w:tr>
        <w:tc>
          <w:tcPr>
            <w:tcW w:type="dxa" w:w="129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FR-14</w:t>
            </w:r>
          </w:p>
        </w:tc>
        <w:tc>
          <w:tcPr>
            <w:tcW w:type="dxa" w:w="144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UC-08</w:t>
            </w:r>
          </w:p>
        </w:tc>
        <w:tc>
          <w:tcPr>
            <w:tcW w:type="dxa" w:w="2160"/>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Capital Ledger</w:t>
            </w:r>
          </w:p>
        </w:tc>
        <w:tc>
          <w:tcPr>
            <w:tcW w:type="dxa" w:w="2304"/>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Accounting Audit Math Test</w:t>
            </w:r>
          </w:p>
        </w:tc>
        <w:tc>
          <w:tcPr>
            <w:tcW w:type="dxa" w:w="2016"/>
            <w:shd w:fill="F7FAFC"/>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(Exact Rs.)</w:t>
            </w:r>
          </w:p>
        </w:tc>
      </w:tr>
      <w:tr>
        <w:tc>
          <w:tcPr>
            <w:tcW w:type="dxa" w:w="129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FR-18</w:t>
            </w:r>
          </w:p>
        </w:tc>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UC-10</w:t>
            </w:r>
          </w:p>
        </w:tc>
        <w:tc>
          <w:tcPr>
            <w:tcW w:type="dxa" w:w="2160"/>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Dual-Storage Core</w:t>
            </w:r>
          </w:p>
        </w:tc>
        <w:tc>
          <w:tcPr>
            <w:tcW w:type="dxa" w:w="2304"/>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Database Disconnect Test</w:t>
            </w:r>
          </w:p>
        </w:tc>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2D3748"/>
                <w:sz w:val="21"/>
              </w:rPr>
              <w:t>Passed (Disk Fallback)</w:t>
            </w:r>
          </w:p>
        </w:tc>
      </w:tr>
    </w:tbl>
    <w:p>
      <w:pPr>
        <w:spacing w:before="200" w:after="80" w:line="360" w:lineRule="auto"/>
        <w:jc w:val="left"/>
      </w:pPr>
      <w:r>
        <w:rPr>
          <w:rFonts w:ascii="Times New Roman" w:hAnsi="Times New Roman"/>
          <w:b/>
          <w:color w:val="2B6CB0"/>
          <w:sz w:val="28"/>
        </w:rPr>
        <w:t>9.2 Acceptance Criteria Checklist</w:t>
      </w:r>
    </w:p>
    <w:p>
      <w:pPr>
        <w:pStyle w:val="ListBullet"/>
        <w:spacing w:before="0" w:after="80" w:line="360" w:lineRule="auto"/>
        <w:jc w:val="both"/>
      </w:pPr>
      <w:r>
        <w:rPr>
          <w:rFonts w:ascii="Times New Roman" w:hAnsi="Times New Roman"/>
          <w:b/>
          <w:sz w:val="24"/>
        </w:rPr>
        <w:t xml:space="preserve">Sizing Standard Compliance: </w:t>
      </w:r>
      <w:r>
        <w:rPr>
          <w:rFonts w:ascii="Times New Roman" w:hAnsi="Times New Roman"/>
          <w:sz w:val="24"/>
        </w:rPr>
        <w:t>The platform enforces whole numbers 7 to 13 across all user interfaces, eliminating European/fractional size confusion.</w:t>
      </w:r>
    </w:p>
    <w:p>
      <w:pPr>
        <w:pStyle w:val="ListBullet"/>
        <w:spacing w:before="0" w:after="80" w:line="360" w:lineRule="auto"/>
        <w:jc w:val="both"/>
      </w:pPr>
      <w:r>
        <w:rPr>
          <w:rFonts w:ascii="Times New Roman" w:hAnsi="Times New Roman"/>
          <w:b/>
          <w:sz w:val="24"/>
        </w:rPr>
        <w:t xml:space="preserve">AI Fault-Tolerance Guarantee: </w:t>
      </w:r>
      <w:r>
        <w:rPr>
          <w:rFonts w:ascii="Times New Roman" w:hAnsi="Times New Roman"/>
          <w:sz w:val="24"/>
        </w:rPr>
        <w:t>Admin catalog auto-fill seamlessly falls over between Gemini, Experiential Labs, and local heuristics without throwing red UI alert errors.</w:t>
      </w:r>
    </w:p>
    <w:p>
      <w:pPr>
        <w:pStyle w:val="ListBullet"/>
        <w:spacing w:before="0" w:after="80" w:line="360" w:lineRule="auto"/>
        <w:jc w:val="both"/>
      </w:pPr>
      <w:r>
        <w:rPr>
          <w:rFonts w:ascii="Times New Roman" w:hAnsi="Times New Roman"/>
          <w:b/>
          <w:sz w:val="24"/>
        </w:rPr>
        <w:t xml:space="preserve">Data Persistence Assurance: </w:t>
      </w:r>
      <w:r>
        <w:rPr>
          <w:rFonts w:ascii="Times New Roman" w:hAnsi="Times New Roman"/>
          <w:sz w:val="24"/>
        </w:rPr>
        <w:t>All 10 authentic Peshawari chappal catalog listings are preserved simultaneously in MongoDB Atlas and mirrored local storage.</w:t>
      </w:r>
    </w:p>
    <w:p>
      <w:r>
        <w:br w:type="page"/>
      </w:r>
    </w:p>
    <w:p>
      <w:pPr>
        <w:spacing w:before="280" w:after="120" w:line="360" w:lineRule="auto"/>
        <w:jc w:val="left"/>
      </w:pPr>
      <w:r>
        <w:rPr>
          <w:rFonts w:ascii="Times New Roman" w:hAnsi="Times New Roman"/>
          <w:b/>
          <w:color w:val="1A365D"/>
          <w:sz w:val="32"/>
        </w:rPr>
        <w:t>Chapter 10: Academic References &amp; Bibliography</w:t>
      </w:r>
    </w:p>
    <w:p>
      <w:pPr>
        <w:spacing w:before="0" w:after="160" w:line="360" w:lineRule="auto"/>
        <w:jc w:val="both"/>
      </w:pPr>
      <w:r>
        <w:rPr>
          <w:rFonts w:ascii="Times New Roman" w:hAnsi="Times New Roman"/>
          <w:sz w:val="24"/>
        </w:rPr>
        <w:t>[1] IEEE Computer Society, "IEEE Recommended Practice for Software Requirements Specifications," IEEE Std 830-1998, 1998.</w:t>
      </w:r>
    </w:p>
    <w:p>
      <w:pPr>
        <w:spacing w:before="0" w:after="160" w:line="360" w:lineRule="auto"/>
        <w:jc w:val="both"/>
      </w:pPr>
      <w:r>
        <w:rPr>
          <w:rFonts w:ascii="Times New Roman" w:hAnsi="Times New Roman"/>
          <w:sz w:val="24"/>
        </w:rPr>
        <w:t>[2] ISO/IEC/IEEE, "Systems and software engineering — Life cycle processes — Requirements engineering," ISO/IEC/IEEE 29148:2018, 2018.</w:t>
      </w:r>
    </w:p>
    <w:p>
      <w:pPr>
        <w:spacing w:before="0" w:after="160" w:line="360" w:lineRule="auto"/>
        <w:jc w:val="both"/>
      </w:pPr>
      <w:r>
        <w:rPr>
          <w:rFonts w:ascii="Times New Roman" w:hAnsi="Times New Roman"/>
          <w:sz w:val="24"/>
        </w:rPr>
        <w:t>[3] R. S. Pressman and B. R. Maxim, Software Engineering: A Practitioner's Approach, 9th ed. New York: McGraw-Hill Education, 2020.</w:t>
      </w:r>
    </w:p>
    <w:p>
      <w:pPr>
        <w:spacing w:before="0" w:after="160" w:line="360" w:lineRule="auto"/>
        <w:jc w:val="both"/>
      </w:pPr>
      <w:r>
        <w:rPr>
          <w:rFonts w:ascii="Times New Roman" w:hAnsi="Times New Roman"/>
          <w:sz w:val="24"/>
        </w:rPr>
        <w:t>[4] I. Sommerville, Software Engineering, 10th ed. Boston: Pearson, 2016.</w:t>
      </w:r>
    </w:p>
    <w:p>
      <w:pPr>
        <w:spacing w:before="0" w:after="160" w:line="360" w:lineRule="auto"/>
        <w:jc w:val="both"/>
      </w:pPr>
      <w:r>
        <w:rPr>
          <w:rFonts w:ascii="Times New Roman" w:hAnsi="Times New Roman"/>
          <w:sz w:val="24"/>
        </w:rPr>
        <w:t>[5] E. Gamma, R. Helm, R. Johnson, and J. Vlissides, Design Patterns: Elements of Reusable Object-Oriented Software. Reading, MA: Addison-Wesley, 1994.</w:t>
      </w:r>
    </w:p>
    <w:p>
      <w:pPr>
        <w:spacing w:before="0" w:after="160" w:line="360" w:lineRule="auto"/>
        <w:jc w:val="both"/>
      </w:pPr>
      <w:r>
        <w:rPr>
          <w:rFonts w:ascii="Times New Roman" w:hAnsi="Times New Roman"/>
          <w:sz w:val="24"/>
        </w:rPr>
        <w:t>[6] R. Hartley and A. Zisserman, Multiple View Geometry in Computer Vision, 2nd ed. Cambridge: Cambridge University Press, 2004.</w:t>
      </w:r>
    </w:p>
    <w:p>
      <w:pPr>
        <w:spacing w:before="0" w:after="160" w:line="360" w:lineRule="auto"/>
        <w:jc w:val="both"/>
      </w:pPr>
      <w:r>
        <w:rPr>
          <w:rFonts w:ascii="Times New Roman" w:hAnsi="Times New Roman"/>
          <w:sz w:val="24"/>
        </w:rPr>
        <w:t>[7] D. Cabello, J. M. Baena, and R. E. Sanchez, "Computer vision techniques for anthropometric foot measurement from 2D calibrated images," Journal of Foot and Ankle Research, vol. 14, no. 1, pp. 22-31, 2021.</w:t>
      </w:r>
    </w:p>
    <w:p>
      <w:pPr>
        <w:spacing w:before="0" w:after="160" w:line="360" w:lineRule="auto"/>
        <w:jc w:val="both"/>
      </w:pPr>
      <w:r>
        <w:rPr>
          <w:rFonts w:ascii="Times New Roman" w:hAnsi="Times New Roman"/>
          <w:sz w:val="24"/>
        </w:rPr>
        <w:t>[8] Google DeepMind, "Gemini: A Family of Highly Capable Multimodal Models," arXiv preprint arXiv:2312.11805, 2023.</w:t>
      </w:r>
    </w:p>
    <w:p>
      <w:pPr>
        <w:spacing w:before="0" w:after="160" w:line="360" w:lineRule="auto"/>
        <w:jc w:val="both"/>
      </w:pPr>
      <w:r>
        <w:rPr>
          <w:rFonts w:ascii="Times New Roman" w:hAnsi="Times New Roman"/>
          <w:sz w:val="24"/>
        </w:rPr>
        <w:t>[9] D. Flanagan, JavaScript: The Definitive Guide, 7th ed. Sebastopol, CA: O'Reilly Media, 2020.</w:t>
      </w:r>
    </w:p>
    <w:p>
      <w:pPr>
        <w:spacing w:before="0" w:after="160" w:line="360" w:lineRule="auto"/>
        <w:jc w:val="both"/>
      </w:pPr>
      <w:r>
        <w:rPr>
          <w:rFonts w:ascii="Times New Roman" w:hAnsi="Times New Roman"/>
          <w:sz w:val="24"/>
        </w:rPr>
        <w:t>[10] K. Chodorow, MongoDB: The Definitive Guide: Powerful and Scalable Data Storage, 3rd ed. Sebastopol, CA: O'Reilly Media, 2023.</w:t>
      </w:r>
    </w:p>
    <w:sectPr w:rsidR="00FC693F" w:rsidRPr="0006063C" w:rsidSect="00034616">
      <w:headerReference w:type="default" r:id="rId9"/>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A0AEC0"/>
        <w:sz w:val="18"/>
      </w:rPr>
      <w:t>Software Requirements Specification (SRS) | Final Year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