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Times New Roman" w:hAnsi="Times New Roman"/>
          <w:b/>
          <w:color w:val="000000"/>
          <w:sz w:val="32"/>
        </w:rPr>
        <w:t>Project Stakeholder Register</w:t>
      </w:r>
    </w:p>
    <w:p>
      <w:pPr>
        <w:spacing w:line="360" w:lineRule="auto" w:after="320"/>
        <w:jc w:val="center"/>
      </w:pPr>
      <w:r>
        <w:rPr>
          <w:rFonts w:ascii="Times New Roman" w:hAnsi="Times New Roman"/>
          <w:b w:val="0"/>
          <w:color w:val="000000"/>
          <w:sz w:val="24"/>
        </w:rPr>
        <w:t>Peshawari Chappal E-Commerce Platform with AI Computer Vision Foot Sizing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none"/>
          <w:bottom w:val="single" w:sz="6" w:space="0" w:color="555555"/>
          <w:right w:val="none"/>
          <w:insideH w:val="single" w:sz="4" w:space="0" w:color="DDDDDD"/>
          <w:insideV w:val="none"/>
        </w:tblBorders>
      </w:tblPr>
      <w:tblGrid>
        <w:gridCol w:w="2933"/>
        <w:gridCol w:w="2933"/>
        <w:gridCol w:w="2933"/>
      </w:tblGrid>
      <w:tr>
        <w:tc>
          <w:tcPr>
            <w:tcW w:type="dxa" w:w="1728"/>
            <w:shd w:fill="EAEAE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Type</w:t>
            </w:r>
          </w:p>
        </w:tc>
        <w:tc>
          <w:tcPr>
            <w:tcW w:type="dxa" w:w="3168"/>
            <w:shd w:fill="EAEAE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Stakeholder</w:t>
            </w:r>
          </w:p>
        </w:tc>
        <w:tc>
          <w:tcPr>
            <w:tcW w:type="dxa" w:w="5184"/>
            <w:shd w:fill="EAEAE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Interests &amp; Objectives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Project Lead / Full-Stack Developer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System architecture, API integration, milestone delivery, and FYP academic evaluation.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AI / Computer Vision Developer</w:t>
            </w:r>
          </w:p>
        </w:tc>
        <w:tc>
          <w:tcPr>
            <w:tcW w:type="dxa" w:w="5184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Accuracy of foot sizing (&lt;3mm error margin), image processing speed, and A4 detection reliability.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Frontend Developer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Responsive UI/UX, product catalog navigation, seamless checkout, and camera scanning interface.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Academic Supervisor &amp; Committee</w:t>
            </w:r>
          </w:p>
        </w:tc>
        <w:tc>
          <w:tcPr>
            <w:tcW w:type="dxa" w:w="5184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Methodology compliance, research validity, documentation standards, and FYP defense grading.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Store Owner / Sponsor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Online sales conversion, order management, reduced return rates due to sizing, and revenue analytics.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Master Artisans / Craftsmen</w:t>
            </w:r>
          </w:p>
        </w:tc>
        <w:tc>
          <w:tcPr>
            <w:tcW w:type="dxa" w:w="5184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Receiving precise foot millimeter measurements and clear order specifications for crafting.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Quality Assurance (QA) Engineer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Cross-browser testing, zero critical bugs in payment/order flows, and data security.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External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End Customers / Footwear Buyers</w:t>
            </w:r>
          </w:p>
        </w:tc>
        <w:tc>
          <w:tcPr>
            <w:tcW w:type="dxa" w:w="5184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Simple shopping experience, accurate custom shoe sizing without store visits, and reliable delivery.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External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Logistics &amp; Courier Partners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Accurate customer shipping addresses, automated tracking labels, and smooth COD cash reconciliation.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External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Payment Gateway Providers</w:t>
            </w:r>
          </w:p>
        </w:tc>
        <w:tc>
          <w:tcPr>
            <w:tcW w:type="dxa" w:w="5184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Secure transactions, low fraud risk, PCI-DSS compliance, and instant payment settlement.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External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Cloud &amp; Hosting Providers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Server uptime (99.9%), database availability, and predictable cloud resource consumption.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External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Leather &amp; Material Suppliers</w:t>
            </w:r>
          </w:p>
        </w:tc>
        <w:tc>
          <w:tcPr>
            <w:tcW w:type="dxa" w:w="5184"/>
            <w:shd w:fill="F9F9F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Consistent demand for genuine leather hides, quality soles, and metal hardware.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External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Tax &amp; Regulatory Authorities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line="360" w:lineRule="auto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Transparent digital invoicing, sales tax compliance (FBR/PRA), and fair customer refund policies.</w:t>
            </w:r>
          </w:p>
        </w:tc>
      </w:tr>
    </w:tbl>
    <w:sectPr w:rsidR="00FC693F" w:rsidRPr="0006063C" w:rsidSect="00034616">
      <w:pgSz w:w="11909" w:h="16834"/>
      <w:pgMar w:top="1411" w:right="1411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