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8A9D" w14:textId="7E04BE13" w:rsidR="00E203B3" w:rsidRPr="00362CF1" w:rsidRDefault="00E203B3" w:rsidP="00A65D35">
      <w:pPr>
        <w:spacing w:line="360" w:lineRule="auto"/>
        <w:jc w:val="center"/>
        <w:rPr>
          <w:rFonts w:hint="eastAsia"/>
          <w:b/>
          <w:bCs/>
          <w:sz w:val="44"/>
          <w:szCs w:val="44"/>
        </w:rPr>
      </w:pPr>
      <w:r w:rsidRPr="00362CF1">
        <w:rPr>
          <w:rFonts w:hint="eastAsia"/>
          <w:b/>
          <w:bCs/>
          <w:sz w:val="44"/>
          <w:szCs w:val="44"/>
        </w:rPr>
        <w:t>Revision Log</w:t>
      </w:r>
    </w:p>
    <w:tbl>
      <w:tblPr>
        <w:tblStyle w:val="ae"/>
        <w:tblW w:w="9067" w:type="dxa"/>
        <w:tblLook w:val="04A0" w:firstRow="1" w:lastRow="0" w:firstColumn="1" w:lastColumn="0" w:noHBand="0" w:noVBand="1"/>
      </w:tblPr>
      <w:tblGrid>
        <w:gridCol w:w="704"/>
        <w:gridCol w:w="2977"/>
        <w:gridCol w:w="5386"/>
      </w:tblGrid>
      <w:tr w:rsidR="00A65D35" w14:paraId="58B8BD03" w14:textId="77777777" w:rsidTr="00D9644E">
        <w:tc>
          <w:tcPr>
            <w:tcW w:w="9067" w:type="dxa"/>
            <w:gridSpan w:val="3"/>
          </w:tcPr>
          <w:p w14:paraId="6406174C" w14:textId="6C38A600" w:rsidR="00A65D35" w:rsidRPr="00E203B3" w:rsidRDefault="00A65D35" w:rsidP="00A65D35">
            <w:pPr>
              <w:spacing w:line="360" w:lineRule="auto"/>
              <w:jc w:val="left"/>
              <w:rPr>
                <w:rFonts w:hint="eastAsia"/>
                <w:b/>
                <w:bCs/>
              </w:rPr>
            </w:pPr>
            <w:r w:rsidRPr="00E203B3">
              <w:rPr>
                <w:b/>
                <w:bCs/>
              </w:rPr>
              <w:t>Overall Structural Revisions</w:t>
            </w:r>
          </w:p>
        </w:tc>
      </w:tr>
      <w:tr w:rsidR="00E203B3" w14:paraId="203BB381" w14:textId="77777777" w:rsidTr="00A65D35">
        <w:tc>
          <w:tcPr>
            <w:tcW w:w="704" w:type="dxa"/>
          </w:tcPr>
          <w:p w14:paraId="35F124C9" w14:textId="42BD8ABA" w:rsidR="00E203B3" w:rsidRPr="00E203B3" w:rsidRDefault="00E203B3" w:rsidP="00E203B3">
            <w:pPr>
              <w:spacing w:line="360" w:lineRule="auto"/>
              <w:jc w:val="center"/>
              <w:rPr>
                <w:rFonts w:hint="eastAsia"/>
                <w:b/>
                <w:bCs/>
              </w:rPr>
            </w:pPr>
            <w:r w:rsidRPr="00E203B3">
              <w:rPr>
                <w:rFonts w:hint="eastAsia"/>
                <w:b/>
                <w:bCs/>
              </w:rPr>
              <w:t>NO.</w:t>
            </w:r>
          </w:p>
        </w:tc>
        <w:tc>
          <w:tcPr>
            <w:tcW w:w="2977" w:type="dxa"/>
          </w:tcPr>
          <w:p w14:paraId="7F1CF70D" w14:textId="4EF7697D" w:rsidR="00E203B3" w:rsidRPr="00E203B3" w:rsidRDefault="00E203B3" w:rsidP="00E203B3">
            <w:pPr>
              <w:spacing w:line="360" w:lineRule="auto"/>
              <w:jc w:val="center"/>
              <w:rPr>
                <w:rFonts w:hint="eastAsia"/>
                <w:b/>
                <w:bCs/>
              </w:rPr>
            </w:pPr>
            <w:r w:rsidRPr="00E203B3">
              <w:rPr>
                <w:rFonts w:hint="eastAsia"/>
                <w:b/>
                <w:bCs/>
              </w:rPr>
              <w:t>Modified Content</w:t>
            </w:r>
          </w:p>
        </w:tc>
        <w:tc>
          <w:tcPr>
            <w:tcW w:w="5386" w:type="dxa"/>
          </w:tcPr>
          <w:p w14:paraId="153EAB3B" w14:textId="260B3C43" w:rsidR="00E203B3" w:rsidRPr="00E203B3" w:rsidRDefault="00E203B3" w:rsidP="00E203B3">
            <w:pPr>
              <w:spacing w:line="360" w:lineRule="auto"/>
              <w:jc w:val="center"/>
              <w:rPr>
                <w:rFonts w:hint="eastAsia"/>
                <w:b/>
                <w:bCs/>
              </w:rPr>
            </w:pPr>
            <w:r w:rsidRPr="00E203B3">
              <w:rPr>
                <w:rFonts w:hint="eastAsia"/>
                <w:b/>
                <w:bCs/>
              </w:rPr>
              <w:t>Specific Instructions</w:t>
            </w:r>
          </w:p>
        </w:tc>
      </w:tr>
      <w:tr w:rsidR="00E203B3" w14:paraId="4C727427" w14:textId="77777777" w:rsidTr="00A65D35">
        <w:tc>
          <w:tcPr>
            <w:tcW w:w="704" w:type="dxa"/>
          </w:tcPr>
          <w:p w14:paraId="2D6210C4" w14:textId="29016063" w:rsidR="00E203B3" w:rsidRDefault="00E203B3" w:rsidP="00E203B3">
            <w:pPr>
              <w:spacing w:line="360" w:lineRule="auto"/>
              <w:jc w:val="center"/>
              <w:rPr>
                <w:rFonts w:hint="eastAsia"/>
              </w:rPr>
            </w:pPr>
            <w:r>
              <w:rPr>
                <w:rFonts w:hint="eastAsia"/>
              </w:rPr>
              <w:t>1</w:t>
            </w:r>
          </w:p>
        </w:tc>
        <w:tc>
          <w:tcPr>
            <w:tcW w:w="2977" w:type="dxa"/>
          </w:tcPr>
          <w:p w14:paraId="2629EBD2" w14:textId="525FEC1C" w:rsidR="00E203B3" w:rsidRDefault="00E203B3" w:rsidP="00E203B3">
            <w:pPr>
              <w:spacing w:line="360" w:lineRule="auto"/>
              <w:rPr>
                <w:rFonts w:hint="eastAsia"/>
              </w:rPr>
            </w:pPr>
            <w:r w:rsidRPr="00E203B3">
              <w:rPr>
                <w:rFonts w:hint="eastAsia"/>
              </w:rPr>
              <w:t>Artificial Intelligence/Tool Usage Statement Position Adjustment</w:t>
            </w:r>
          </w:p>
        </w:tc>
        <w:tc>
          <w:tcPr>
            <w:tcW w:w="5386" w:type="dxa"/>
          </w:tcPr>
          <w:p w14:paraId="3148AF1B" w14:textId="210FFBE4" w:rsidR="00E203B3" w:rsidRDefault="00E203B3" w:rsidP="00E203B3">
            <w:pPr>
              <w:pStyle w:val="af"/>
              <w:rPr>
                <w:rFonts w:hint="eastAsia"/>
              </w:rPr>
            </w:pPr>
            <w:r w:rsidRPr="00E203B3">
              <w:rPr>
                <w:rFonts w:hint="eastAsia"/>
              </w:rPr>
              <w:t>The declarations previously scattered throughout the references have been consolidated into the “Declaration” section on the first page of the paper, in compliance with academic standards.</w:t>
            </w:r>
          </w:p>
        </w:tc>
      </w:tr>
      <w:tr w:rsidR="00E203B3" w14:paraId="02611E16" w14:textId="77777777" w:rsidTr="00A65D35">
        <w:tc>
          <w:tcPr>
            <w:tcW w:w="704" w:type="dxa"/>
          </w:tcPr>
          <w:p w14:paraId="5DDED1BC" w14:textId="0C132DE5" w:rsidR="00E203B3" w:rsidRDefault="00E203B3" w:rsidP="00E203B3">
            <w:pPr>
              <w:spacing w:line="360" w:lineRule="auto"/>
              <w:jc w:val="center"/>
              <w:rPr>
                <w:rFonts w:hint="eastAsia"/>
              </w:rPr>
            </w:pPr>
            <w:r>
              <w:rPr>
                <w:rFonts w:hint="eastAsia"/>
              </w:rPr>
              <w:t>2</w:t>
            </w:r>
          </w:p>
        </w:tc>
        <w:tc>
          <w:tcPr>
            <w:tcW w:w="2977" w:type="dxa"/>
          </w:tcPr>
          <w:p w14:paraId="482103C5" w14:textId="661E9AC2" w:rsidR="00E203B3" w:rsidRDefault="00E203B3" w:rsidP="00E203B3">
            <w:pPr>
              <w:spacing w:line="360" w:lineRule="auto"/>
              <w:jc w:val="center"/>
              <w:rPr>
                <w:rFonts w:hint="eastAsia"/>
              </w:rPr>
            </w:pPr>
            <w:r w:rsidRPr="00E203B3">
              <w:rPr>
                <w:rFonts w:hint="eastAsia"/>
              </w:rPr>
              <w:t>Research Focus of the Thesis</w:t>
            </w:r>
          </w:p>
        </w:tc>
        <w:tc>
          <w:tcPr>
            <w:tcW w:w="5386" w:type="dxa"/>
          </w:tcPr>
          <w:p w14:paraId="359A7AAD" w14:textId="43E2F273" w:rsidR="00E203B3" w:rsidRDefault="00E203B3" w:rsidP="00E203B3">
            <w:pPr>
              <w:pStyle w:val="af"/>
              <w:rPr>
                <w:rFonts w:hint="eastAsia"/>
              </w:rPr>
            </w:pPr>
            <w:r w:rsidRPr="00E203B3">
              <w:rPr>
                <w:rFonts w:hint="eastAsia"/>
              </w:rPr>
              <w:t>Based on the actual available data, the scope of the study has been explicitly narrowed from the originally planned three products—BOPP, duct tape, and masking tape—to focus solely on BOPP. All relevant sections throughout the document (including the abstract, introduction, scope section, literature review, data analysis, etc.) have been uniformly revised accordingly.</w:t>
            </w:r>
          </w:p>
        </w:tc>
      </w:tr>
      <w:tr w:rsidR="00E203B3" w14:paraId="7137513F" w14:textId="77777777" w:rsidTr="0023796B">
        <w:tc>
          <w:tcPr>
            <w:tcW w:w="9067" w:type="dxa"/>
            <w:gridSpan w:val="3"/>
          </w:tcPr>
          <w:p w14:paraId="43E2DCA4" w14:textId="6B71AAC4" w:rsidR="00E203B3" w:rsidRPr="00E203B3" w:rsidRDefault="00E203B3" w:rsidP="00E203B3">
            <w:pPr>
              <w:spacing w:line="360" w:lineRule="auto"/>
              <w:jc w:val="left"/>
              <w:rPr>
                <w:rFonts w:hint="eastAsia"/>
                <w:b/>
                <w:bCs/>
              </w:rPr>
            </w:pPr>
            <w:r w:rsidRPr="00E203B3">
              <w:rPr>
                <w:b/>
                <w:bCs/>
              </w:rPr>
              <w:t>Major Content Revisions by Chapter</w:t>
            </w:r>
          </w:p>
        </w:tc>
      </w:tr>
      <w:tr w:rsidR="00E203B3" w14:paraId="663BBBE8" w14:textId="77777777" w:rsidTr="00A65D35">
        <w:tc>
          <w:tcPr>
            <w:tcW w:w="704" w:type="dxa"/>
          </w:tcPr>
          <w:p w14:paraId="29466F47" w14:textId="5B23A0A1" w:rsidR="00E203B3" w:rsidRDefault="00042B59" w:rsidP="00A65D35">
            <w:pPr>
              <w:pStyle w:val="af"/>
              <w:rPr>
                <w:rFonts w:hint="eastAsia"/>
              </w:rPr>
            </w:pPr>
            <w:r>
              <w:rPr>
                <w:rFonts w:hint="eastAsia"/>
              </w:rPr>
              <w:t>3</w:t>
            </w:r>
          </w:p>
        </w:tc>
        <w:tc>
          <w:tcPr>
            <w:tcW w:w="2977" w:type="dxa"/>
          </w:tcPr>
          <w:p w14:paraId="0E27C9E4" w14:textId="1ED0372A" w:rsidR="00E203B3" w:rsidRDefault="00E203B3" w:rsidP="00A65D35">
            <w:pPr>
              <w:pStyle w:val="af"/>
              <w:rPr>
                <w:rFonts w:hint="eastAsia"/>
              </w:rPr>
            </w:pPr>
            <w:r w:rsidRPr="00E203B3">
              <w:rPr>
                <w:rFonts w:hint="eastAsia"/>
              </w:rPr>
              <w:t>Section 5.3 heading “Seasonal ARIMA” does not match the content.</w:t>
            </w:r>
          </w:p>
        </w:tc>
        <w:tc>
          <w:tcPr>
            <w:tcW w:w="5386" w:type="dxa"/>
          </w:tcPr>
          <w:p w14:paraId="2778F42A" w14:textId="63189958" w:rsidR="00E203B3" w:rsidRDefault="00E203B3" w:rsidP="00A65D35">
            <w:pPr>
              <w:pStyle w:val="af"/>
              <w:rPr>
                <w:rFonts w:hint="eastAsia"/>
              </w:rPr>
            </w:pPr>
            <w:r w:rsidRPr="00E203B3">
              <w:rPr>
                <w:rFonts w:hint="eastAsia"/>
              </w:rPr>
              <w:t>The chapter title has been corrected to “Prophet Model,” and all related references in the main text have been revised accordingly.</w:t>
            </w:r>
          </w:p>
        </w:tc>
      </w:tr>
      <w:tr w:rsidR="00E203B3" w14:paraId="24010F9C" w14:textId="77777777" w:rsidTr="00A65D35">
        <w:tc>
          <w:tcPr>
            <w:tcW w:w="704" w:type="dxa"/>
          </w:tcPr>
          <w:p w14:paraId="55241435" w14:textId="33ADF84E" w:rsidR="00E203B3" w:rsidRDefault="00042B59" w:rsidP="00A65D35">
            <w:pPr>
              <w:pStyle w:val="af"/>
              <w:rPr>
                <w:rFonts w:hint="eastAsia"/>
              </w:rPr>
            </w:pPr>
            <w:r>
              <w:rPr>
                <w:rFonts w:hint="eastAsia"/>
              </w:rPr>
              <w:t>4</w:t>
            </w:r>
          </w:p>
        </w:tc>
        <w:tc>
          <w:tcPr>
            <w:tcW w:w="2977" w:type="dxa"/>
          </w:tcPr>
          <w:p w14:paraId="64280A5F" w14:textId="09BE2C5A" w:rsidR="00E203B3" w:rsidRPr="00E203B3" w:rsidRDefault="00E203B3" w:rsidP="00A65D35">
            <w:pPr>
              <w:pStyle w:val="af"/>
              <w:rPr>
                <w:rFonts w:hint="eastAsia"/>
              </w:rPr>
            </w:pPr>
            <w:r w:rsidRPr="00E203B3">
              <w:t>There is a lack of actual output content following introductory phrases such as “The following information:”</w:t>
            </w:r>
          </w:p>
        </w:tc>
        <w:tc>
          <w:tcPr>
            <w:tcW w:w="5386" w:type="dxa"/>
          </w:tcPr>
          <w:p w14:paraId="6F22C589" w14:textId="2574459C" w:rsidR="00E203B3" w:rsidRPr="00E203B3" w:rsidRDefault="00E203B3" w:rsidP="00A65D35">
            <w:pPr>
              <w:pStyle w:val="af"/>
              <w:rPr>
                <w:rFonts w:hint="eastAsia"/>
              </w:rPr>
            </w:pPr>
            <w:r w:rsidRPr="00E203B3">
              <w:t>System output information for the Prophet model has been supplemented, along with detailed explanations regarding the model's automatic disabling of daily seasonality.</w:t>
            </w:r>
          </w:p>
        </w:tc>
      </w:tr>
      <w:tr w:rsidR="00E203B3" w14:paraId="44D61DBB" w14:textId="77777777" w:rsidTr="00A65D35">
        <w:tc>
          <w:tcPr>
            <w:tcW w:w="704" w:type="dxa"/>
          </w:tcPr>
          <w:p w14:paraId="6F4B0F32" w14:textId="4FE0FC79" w:rsidR="00E203B3" w:rsidRDefault="00042B59" w:rsidP="00A65D35">
            <w:pPr>
              <w:pStyle w:val="af"/>
              <w:rPr>
                <w:rFonts w:hint="eastAsia"/>
              </w:rPr>
            </w:pPr>
            <w:r>
              <w:rPr>
                <w:rFonts w:hint="eastAsia"/>
              </w:rPr>
              <w:t>5</w:t>
            </w:r>
          </w:p>
        </w:tc>
        <w:tc>
          <w:tcPr>
            <w:tcW w:w="2977" w:type="dxa"/>
          </w:tcPr>
          <w:p w14:paraId="2D92E647" w14:textId="16EDFBA2" w:rsidR="00E203B3" w:rsidRPr="00E203B3" w:rsidRDefault="00E203B3" w:rsidP="00A65D35">
            <w:pPr>
              <w:pStyle w:val="af"/>
              <w:rPr>
                <w:rFonts w:hint="eastAsia"/>
              </w:rPr>
            </w:pPr>
            <w:r w:rsidRPr="00E203B3">
              <w:t>Lack of model result visualization.</w:t>
            </w:r>
          </w:p>
        </w:tc>
        <w:tc>
          <w:tcPr>
            <w:tcW w:w="5386" w:type="dxa"/>
          </w:tcPr>
          <w:p w14:paraId="77990808" w14:textId="3E99984B" w:rsidR="00E203B3" w:rsidRPr="00E203B3" w:rsidRDefault="00E203B3" w:rsidP="00A65D35">
            <w:pPr>
              <w:pStyle w:val="af"/>
              <w:rPr>
                <w:rFonts w:hint="eastAsia"/>
              </w:rPr>
            </w:pPr>
            <w:r w:rsidRPr="00E203B3">
              <w:rPr>
                <w:rFonts w:hint="eastAsia"/>
              </w:rPr>
              <w:t>Added system prompts for the Prophet model runtime and included a detailed explanation of the automatic disabling of daily seasonality in the model</w:t>
            </w:r>
            <w:r>
              <w:rPr>
                <w:rFonts w:hint="eastAsia"/>
              </w:rPr>
              <w:t xml:space="preserve"> as 5.3</w:t>
            </w:r>
          </w:p>
        </w:tc>
      </w:tr>
      <w:tr w:rsidR="00E203B3" w14:paraId="4ED198D4" w14:textId="77777777" w:rsidTr="00A65D35">
        <w:tc>
          <w:tcPr>
            <w:tcW w:w="704" w:type="dxa"/>
          </w:tcPr>
          <w:p w14:paraId="79095573" w14:textId="671C5F53" w:rsidR="00E203B3" w:rsidRDefault="00042B59" w:rsidP="00A65D35">
            <w:pPr>
              <w:pStyle w:val="af"/>
              <w:rPr>
                <w:rFonts w:hint="eastAsia"/>
              </w:rPr>
            </w:pPr>
            <w:r>
              <w:rPr>
                <w:rFonts w:hint="eastAsia"/>
              </w:rPr>
              <w:t>6</w:t>
            </w:r>
          </w:p>
        </w:tc>
        <w:tc>
          <w:tcPr>
            <w:tcW w:w="2977" w:type="dxa"/>
          </w:tcPr>
          <w:p w14:paraId="76201A47" w14:textId="70308B50" w:rsidR="00E203B3" w:rsidRPr="00E203B3" w:rsidRDefault="0030536A" w:rsidP="00A65D35">
            <w:pPr>
              <w:pStyle w:val="af"/>
            </w:pPr>
            <w:r w:rsidRPr="0030536A">
              <w:t>Standardization</w:t>
            </w:r>
            <w:r w:rsidRPr="0030536A">
              <w:rPr>
                <w:rFonts w:hint="eastAsia"/>
              </w:rPr>
              <w:t xml:space="preserve"> of figures and tables</w:t>
            </w:r>
          </w:p>
        </w:tc>
        <w:tc>
          <w:tcPr>
            <w:tcW w:w="5386" w:type="dxa"/>
          </w:tcPr>
          <w:p w14:paraId="489D1F96" w14:textId="6CE84265" w:rsidR="00E203B3" w:rsidRPr="00E203B3" w:rsidRDefault="0030536A" w:rsidP="00A65D35">
            <w:pPr>
              <w:pStyle w:val="af"/>
              <w:rPr>
                <w:rFonts w:hint="eastAsia"/>
              </w:rPr>
            </w:pPr>
            <w:r w:rsidRPr="0030536A">
              <w:t xml:space="preserve">All figures and tables in this chapter have been </w:t>
            </w:r>
            <w:r w:rsidR="00A65D35" w:rsidRPr="0030536A">
              <w:t>standardized</w:t>
            </w:r>
            <w:r w:rsidRPr="0030536A">
              <w:t xml:space="preserve"> with sequential numbering (e.g., </w:t>
            </w:r>
            <w:r w:rsidRPr="0030536A">
              <w:rPr>
                <w:rFonts w:hint="eastAsia"/>
              </w:rPr>
              <w:t>Figure 4.2 Box of BOPP tape procurement prices</w:t>
            </w:r>
            <w:r w:rsidRPr="0030536A">
              <w:t>, Table 5.1</w:t>
            </w:r>
            <w:r>
              <w:rPr>
                <w:rFonts w:hint="eastAsia"/>
              </w:rPr>
              <w:t xml:space="preserve"> date list</w:t>
            </w:r>
            <w:r w:rsidRPr="0030536A">
              <w:t>), complete captions/titles, and explicit references in the main text.</w:t>
            </w:r>
          </w:p>
        </w:tc>
      </w:tr>
      <w:tr w:rsidR="0030536A" w14:paraId="245A5F0E" w14:textId="77777777" w:rsidTr="006A75C0">
        <w:tc>
          <w:tcPr>
            <w:tcW w:w="9067" w:type="dxa"/>
            <w:gridSpan w:val="3"/>
          </w:tcPr>
          <w:p w14:paraId="7B8B26BF" w14:textId="0EA14FEE" w:rsidR="0030536A" w:rsidRPr="00042B59" w:rsidRDefault="0030536A" w:rsidP="00A65D35">
            <w:pPr>
              <w:pStyle w:val="af"/>
              <w:rPr>
                <w:b/>
                <w:bCs/>
              </w:rPr>
            </w:pPr>
            <w:r w:rsidRPr="00042B59">
              <w:rPr>
                <w:b/>
                <w:bCs/>
              </w:rPr>
              <w:t>Model Evaluation and Result Analysis</w:t>
            </w:r>
          </w:p>
        </w:tc>
      </w:tr>
      <w:tr w:rsidR="0030536A" w14:paraId="50E078DD" w14:textId="77777777" w:rsidTr="00A65D35">
        <w:tc>
          <w:tcPr>
            <w:tcW w:w="704" w:type="dxa"/>
          </w:tcPr>
          <w:p w14:paraId="5408A298" w14:textId="4681F05C" w:rsidR="0030536A" w:rsidRDefault="00042B59" w:rsidP="00A65D35">
            <w:pPr>
              <w:pStyle w:val="af"/>
              <w:rPr>
                <w:rFonts w:hint="eastAsia"/>
              </w:rPr>
            </w:pPr>
            <w:r>
              <w:rPr>
                <w:rFonts w:hint="eastAsia"/>
              </w:rPr>
              <w:t>7</w:t>
            </w:r>
          </w:p>
        </w:tc>
        <w:tc>
          <w:tcPr>
            <w:tcW w:w="2977" w:type="dxa"/>
          </w:tcPr>
          <w:p w14:paraId="6A527151" w14:textId="1A67B821" w:rsidR="0030536A" w:rsidRPr="0030536A" w:rsidRDefault="0030536A" w:rsidP="00A65D35">
            <w:pPr>
              <w:pStyle w:val="af"/>
            </w:pPr>
            <w:r w:rsidRPr="0030536A">
              <w:t>Negative R² values not explained</w:t>
            </w:r>
          </w:p>
        </w:tc>
        <w:tc>
          <w:tcPr>
            <w:tcW w:w="5386" w:type="dxa"/>
          </w:tcPr>
          <w:p w14:paraId="77D210EE" w14:textId="28999F0E" w:rsidR="0030536A" w:rsidRPr="0030536A" w:rsidRDefault="0030536A" w:rsidP="00A65D35">
            <w:pPr>
              <w:pStyle w:val="af"/>
            </w:pPr>
            <w:r w:rsidRPr="0030536A">
              <w:rPr>
                <w:rFonts w:hint="eastAsia"/>
              </w:rPr>
              <w:t>Section 6.2 now explicitly discusses negative R² values, explaining that they reflect high noise and weak temporal structure in daily procurement prices rather than model implementation errors.</w:t>
            </w:r>
          </w:p>
        </w:tc>
      </w:tr>
      <w:tr w:rsidR="0030536A" w14:paraId="399EC2FD" w14:textId="77777777" w:rsidTr="00A65D35">
        <w:tc>
          <w:tcPr>
            <w:tcW w:w="704" w:type="dxa"/>
          </w:tcPr>
          <w:p w14:paraId="1516C8C3" w14:textId="01EEC0E8" w:rsidR="0030536A" w:rsidRDefault="00042B59" w:rsidP="00A65D35">
            <w:pPr>
              <w:pStyle w:val="af"/>
              <w:rPr>
                <w:rFonts w:hint="eastAsia"/>
              </w:rPr>
            </w:pPr>
            <w:r>
              <w:rPr>
                <w:rFonts w:hint="eastAsia"/>
              </w:rPr>
              <w:t>8</w:t>
            </w:r>
          </w:p>
        </w:tc>
        <w:tc>
          <w:tcPr>
            <w:tcW w:w="2977" w:type="dxa"/>
          </w:tcPr>
          <w:p w14:paraId="26209764" w14:textId="730F9111" w:rsidR="0030536A" w:rsidRPr="0030536A" w:rsidRDefault="0030536A" w:rsidP="00A65D35">
            <w:pPr>
              <w:pStyle w:val="af"/>
            </w:pPr>
            <w:r w:rsidRPr="0030536A">
              <w:t>Need for a naïve benchmark</w:t>
            </w:r>
          </w:p>
        </w:tc>
        <w:tc>
          <w:tcPr>
            <w:tcW w:w="5386" w:type="dxa"/>
          </w:tcPr>
          <w:p w14:paraId="4B5C93CB" w14:textId="3A463700" w:rsidR="0030536A" w:rsidRPr="0030536A" w:rsidRDefault="0030536A" w:rsidP="00A65D35">
            <w:pPr>
              <w:pStyle w:val="af"/>
              <w:rPr>
                <w:rFonts w:hint="eastAsia"/>
              </w:rPr>
            </w:pPr>
            <w:r w:rsidRPr="0030536A">
              <w:t>A na</w:t>
            </w:r>
            <w:r>
              <w:rPr>
                <w:rFonts w:hint="eastAsia"/>
              </w:rPr>
              <w:t>i</w:t>
            </w:r>
            <w:r w:rsidRPr="0030536A">
              <w:t>ve mean forecast has been added to Table 6.2 as a benchmark for comparison. This baseline is used solely as a reference point, not as an additional forecasting model.</w:t>
            </w:r>
          </w:p>
        </w:tc>
      </w:tr>
      <w:tr w:rsidR="0030536A" w14:paraId="4151C517" w14:textId="77777777" w:rsidTr="00A65D35">
        <w:tc>
          <w:tcPr>
            <w:tcW w:w="704" w:type="dxa"/>
          </w:tcPr>
          <w:p w14:paraId="336D4BA7" w14:textId="3F6B42B2" w:rsidR="0030536A" w:rsidRDefault="00042B59" w:rsidP="00A65D35">
            <w:pPr>
              <w:pStyle w:val="af"/>
              <w:rPr>
                <w:rFonts w:hint="eastAsia"/>
              </w:rPr>
            </w:pPr>
            <w:r>
              <w:rPr>
                <w:rFonts w:hint="eastAsia"/>
              </w:rPr>
              <w:t>9</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536A" w:rsidRPr="0030536A" w14:paraId="183B3DCC" w14:textId="77777777" w:rsidTr="0030536A">
              <w:trPr>
                <w:tblCellSpacing w:w="15" w:type="dxa"/>
              </w:trPr>
              <w:tc>
                <w:tcPr>
                  <w:tcW w:w="0" w:type="auto"/>
                  <w:vAlign w:val="center"/>
                  <w:hideMark/>
                </w:tcPr>
                <w:p w14:paraId="47E78738" w14:textId="77777777" w:rsidR="0030536A" w:rsidRPr="0030536A" w:rsidRDefault="0030536A" w:rsidP="00A65D35">
                  <w:pPr>
                    <w:pStyle w:val="af"/>
                  </w:pPr>
                </w:p>
              </w:tc>
            </w:tr>
          </w:tbl>
          <w:p w14:paraId="33BE7568" w14:textId="77777777" w:rsidR="0030536A" w:rsidRPr="0030536A" w:rsidRDefault="0030536A" w:rsidP="00A65D35">
            <w:pPr>
              <w:pStyle w:val="af"/>
              <w:rPr>
                <w:rFonts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30536A" w:rsidRPr="0030536A" w14:paraId="30EFC2B3" w14:textId="77777777" w:rsidTr="0030536A">
              <w:trPr>
                <w:tblCellSpacing w:w="15" w:type="dxa"/>
              </w:trPr>
              <w:tc>
                <w:tcPr>
                  <w:tcW w:w="0" w:type="auto"/>
                  <w:vAlign w:val="center"/>
                  <w:hideMark/>
                </w:tcPr>
                <w:p w14:paraId="2CAAD666" w14:textId="77777777" w:rsidR="0030536A" w:rsidRPr="0030536A" w:rsidRDefault="0030536A" w:rsidP="00A65D35">
                  <w:pPr>
                    <w:pStyle w:val="af"/>
                  </w:pPr>
                  <w:r w:rsidRPr="0030536A">
                    <w:t xml:space="preserve">Recommendation to </w:t>
                  </w:r>
                  <w:r w:rsidRPr="0030536A">
                    <w:lastRenderedPageBreak/>
                    <w:t>include MASE or relative skill metrics</w:t>
                  </w:r>
                </w:p>
              </w:tc>
            </w:tr>
          </w:tbl>
          <w:p w14:paraId="02FC2595" w14:textId="77777777" w:rsidR="0030536A" w:rsidRPr="0030536A" w:rsidRDefault="0030536A" w:rsidP="00A65D35">
            <w:pPr>
              <w:pStyle w:val="af"/>
            </w:pPr>
          </w:p>
        </w:tc>
        <w:tc>
          <w:tcPr>
            <w:tcW w:w="5386" w:type="dxa"/>
          </w:tcPr>
          <w:p w14:paraId="1E3A656D" w14:textId="4A759E25" w:rsidR="0030536A" w:rsidRPr="0030536A" w:rsidRDefault="0030536A" w:rsidP="00A65D35">
            <w:pPr>
              <w:pStyle w:val="af"/>
            </w:pPr>
            <w:r w:rsidRPr="0030536A">
              <w:rPr>
                <w:rFonts w:hint="eastAsia"/>
              </w:rPr>
              <w:lastRenderedPageBreak/>
              <w:t xml:space="preserve">Mean Absolute Scaled Error (MASE) has been added to Table 6.2. MASE is computed relative to the naïve benchmark to provide a scale-free measure of forecast </w:t>
            </w:r>
            <w:r w:rsidRPr="0030536A">
              <w:rPr>
                <w:rFonts w:hint="eastAsia"/>
              </w:rPr>
              <w:lastRenderedPageBreak/>
              <w:t>skill.</w:t>
            </w:r>
          </w:p>
        </w:tc>
      </w:tr>
      <w:tr w:rsidR="0030536A" w14:paraId="3C81E5AD" w14:textId="77777777" w:rsidTr="00A65D35">
        <w:tc>
          <w:tcPr>
            <w:tcW w:w="704" w:type="dxa"/>
          </w:tcPr>
          <w:p w14:paraId="3C285878" w14:textId="1114093D" w:rsidR="0030536A" w:rsidRDefault="00042B59" w:rsidP="00A65D35">
            <w:pPr>
              <w:pStyle w:val="af"/>
              <w:rPr>
                <w:rFonts w:hint="eastAsia"/>
              </w:rPr>
            </w:pPr>
            <w:r>
              <w:rPr>
                <w:rFonts w:hint="eastAsia"/>
              </w:rPr>
              <w:lastRenderedPageBreak/>
              <w:t>10</w:t>
            </w:r>
          </w:p>
        </w:tc>
        <w:tc>
          <w:tcPr>
            <w:tcW w:w="2977" w:type="dxa"/>
          </w:tcPr>
          <w:p w14:paraId="72D6BE98" w14:textId="31E7E23B" w:rsidR="0030536A" w:rsidRPr="0030536A" w:rsidRDefault="0030536A" w:rsidP="00A65D35">
            <w:pPr>
              <w:pStyle w:val="af"/>
            </w:pPr>
            <w:r w:rsidRPr="0030536A">
              <w:t>Insufficient discussion of forecasting difficulty</w:t>
            </w:r>
          </w:p>
        </w:tc>
        <w:tc>
          <w:tcPr>
            <w:tcW w:w="5386" w:type="dxa"/>
          </w:tcPr>
          <w:p w14:paraId="335AC69B" w14:textId="303BCEC3" w:rsidR="0030536A" w:rsidRPr="0030536A" w:rsidRDefault="0030536A" w:rsidP="00A65D35">
            <w:pPr>
              <w:pStyle w:val="af"/>
              <w:rPr>
                <w:rFonts w:hint="eastAsia"/>
              </w:rPr>
            </w:pPr>
            <w:r w:rsidRPr="0030536A">
              <w:t>The discussion has been expanded to address inherent challenges of daily procurement price forecasting, including negotiation effects, supplier heterogeneity, transaction-level volatility, and short-term operational shocks.</w:t>
            </w:r>
          </w:p>
        </w:tc>
      </w:tr>
      <w:tr w:rsidR="0030536A" w14:paraId="05973C76" w14:textId="77777777" w:rsidTr="00A65D35">
        <w:tc>
          <w:tcPr>
            <w:tcW w:w="704" w:type="dxa"/>
          </w:tcPr>
          <w:p w14:paraId="0BEAFA4F" w14:textId="19B7B264" w:rsidR="0030536A" w:rsidRDefault="00042B59" w:rsidP="00A65D35">
            <w:pPr>
              <w:pStyle w:val="af"/>
              <w:rPr>
                <w:rFonts w:hint="eastAsia"/>
              </w:rPr>
            </w:pPr>
            <w:r>
              <w:rPr>
                <w:rFonts w:hint="eastAsia"/>
              </w:rPr>
              <w:t>11</w:t>
            </w:r>
          </w:p>
        </w:tc>
        <w:tc>
          <w:tcPr>
            <w:tcW w:w="2977" w:type="dxa"/>
          </w:tcPr>
          <w:p w14:paraId="5091622B" w14:textId="3E848AD7" w:rsidR="0030536A" w:rsidRPr="0030536A" w:rsidRDefault="0030536A" w:rsidP="00A65D35">
            <w:pPr>
              <w:pStyle w:val="af"/>
            </w:pPr>
            <w:r w:rsidRPr="0030536A">
              <w:t>Model descriptions must be reproducible</w:t>
            </w:r>
          </w:p>
        </w:tc>
        <w:tc>
          <w:tcPr>
            <w:tcW w:w="5386" w:type="dxa"/>
          </w:tcPr>
          <w:p w14:paraId="746FF1AC" w14:textId="2847E919" w:rsidR="0030536A" w:rsidRPr="0030536A" w:rsidRDefault="0030536A" w:rsidP="00A65D35">
            <w:pPr>
              <w:pStyle w:val="af"/>
            </w:pPr>
            <w:r w:rsidRPr="0030536A">
              <w:t xml:space="preserve">Section 6.3 has been expanded to clearly document final configurations for all models: </w:t>
            </w:r>
            <w:r w:rsidRPr="0030536A">
              <w:br/>
              <w:t xml:space="preserve">• </w:t>
            </w:r>
            <w:r w:rsidRPr="00A65D35">
              <w:t>SARIMA:</w:t>
            </w:r>
            <w:r w:rsidRPr="0030536A">
              <w:t xml:space="preserve"> SARIMA(1,1,1)(1,1,1,7) </w:t>
            </w:r>
            <w:r w:rsidRPr="0030536A">
              <w:br/>
              <w:t xml:space="preserve">• </w:t>
            </w:r>
            <w:r w:rsidRPr="00A65D35">
              <w:t>Prophet:</w:t>
            </w:r>
            <w:r w:rsidRPr="0030536A">
              <w:t xml:space="preserve"> seasonality settings, changepoint prior scale (0.05), seasonality prior scale (10.0), prediction interval, and forecasting strategy </w:t>
            </w:r>
            <w:r w:rsidRPr="0030536A">
              <w:br/>
              <w:t xml:space="preserve">• </w:t>
            </w:r>
            <w:proofErr w:type="spellStart"/>
            <w:r w:rsidRPr="00A65D35">
              <w:t>XGBoost</w:t>
            </w:r>
            <w:proofErr w:type="spellEnd"/>
            <w:r w:rsidRPr="00A65D35">
              <w:t>:</w:t>
            </w:r>
            <w:r w:rsidRPr="0030536A">
              <w:t xml:space="preserve"> feature set, hyperparameters, and train–test split </w:t>
            </w:r>
            <w:r w:rsidRPr="0030536A">
              <w:br/>
              <w:t xml:space="preserve">• </w:t>
            </w:r>
            <w:r w:rsidRPr="00A65D35">
              <w:t>LSTM:</w:t>
            </w:r>
            <w:r w:rsidRPr="0030536A">
              <w:t xml:space="preserve"> window size, network architecture, training configuration, early stopping criteria, and effective training epochs</w:t>
            </w:r>
          </w:p>
        </w:tc>
      </w:tr>
      <w:tr w:rsidR="0030536A" w14:paraId="48D06A85" w14:textId="77777777" w:rsidTr="00A65D35">
        <w:tc>
          <w:tcPr>
            <w:tcW w:w="704" w:type="dxa"/>
          </w:tcPr>
          <w:p w14:paraId="286C8ED3" w14:textId="2F1AF706" w:rsidR="0030536A" w:rsidRDefault="00042B59" w:rsidP="00A65D35">
            <w:pPr>
              <w:pStyle w:val="af"/>
              <w:rPr>
                <w:rFonts w:hint="eastAsia"/>
              </w:rPr>
            </w:pPr>
            <w:r>
              <w:rPr>
                <w:rFonts w:hint="eastAsia"/>
              </w:rPr>
              <w:t>12</w:t>
            </w:r>
          </w:p>
        </w:tc>
        <w:tc>
          <w:tcPr>
            <w:tcW w:w="2977" w:type="dxa"/>
          </w:tcPr>
          <w:p w14:paraId="67B00725" w14:textId="2E8B514A" w:rsidR="0030536A" w:rsidRPr="0030536A" w:rsidRDefault="0030536A" w:rsidP="00A65D35">
            <w:pPr>
              <w:pStyle w:val="af"/>
            </w:pPr>
            <w:r w:rsidRPr="0030536A">
              <w:t>Strengthen link between results and business relevance</w:t>
            </w:r>
          </w:p>
        </w:tc>
        <w:tc>
          <w:tcPr>
            <w:tcW w:w="5386" w:type="dxa"/>
          </w:tcPr>
          <w:p w14:paraId="670F161E" w14:textId="6A80AA25" w:rsidR="0030536A" w:rsidRPr="0030536A" w:rsidRDefault="0030536A" w:rsidP="00A65D35">
            <w:pPr>
              <w:pStyle w:val="af"/>
            </w:pPr>
            <w:r w:rsidRPr="0030536A">
              <w:t xml:space="preserve">Section 6.5 (Managerial Implications) has been rewritten to directly link quantitative results with procurement decision-making, </w:t>
            </w:r>
            <w:r w:rsidR="00042B59" w:rsidRPr="0030536A">
              <w:t>emphasizing</w:t>
            </w:r>
            <w:r w:rsidRPr="0030536A">
              <w:t xml:space="preserve"> interpretability, robustness, and uncertainty awareness.</w:t>
            </w:r>
          </w:p>
        </w:tc>
      </w:tr>
      <w:tr w:rsidR="0030536A" w14:paraId="10AC2A06" w14:textId="77777777" w:rsidTr="00A65D35">
        <w:tc>
          <w:tcPr>
            <w:tcW w:w="704" w:type="dxa"/>
          </w:tcPr>
          <w:p w14:paraId="34CC6165" w14:textId="26D40356" w:rsidR="0030536A" w:rsidRDefault="00042B59" w:rsidP="00A65D35">
            <w:pPr>
              <w:pStyle w:val="af"/>
              <w:rPr>
                <w:rFonts w:hint="eastAsia"/>
              </w:rPr>
            </w:pPr>
            <w:r>
              <w:rPr>
                <w:rFonts w:hint="eastAsia"/>
              </w:rPr>
              <w:t>13</w:t>
            </w:r>
          </w:p>
        </w:tc>
        <w:tc>
          <w:tcPr>
            <w:tcW w:w="2977" w:type="dxa"/>
          </w:tcPr>
          <w:p w14:paraId="1FC12826" w14:textId="4064B159" w:rsidR="0030536A" w:rsidRPr="0030536A" w:rsidRDefault="0030536A" w:rsidP="00A65D35">
            <w:pPr>
              <w:pStyle w:val="af"/>
            </w:pPr>
            <w:r w:rsidRPr="0030536A">
              <w:t xml:space="preserve">Model selection rationale </w:t>
            </w:r>
            <w:proofErr w:type="gramStart"/>
            <w:r w:rsidRPr="0030536A">
              <w:t>unclear</w:t>
            </w:r>
            <w:proofErr w:type="gramEnd"/>
          </w:p>
        </w:tc>
        <w:tc>
          <w:tcPr>
            <w:tcW w:w="5386" w:type="dxa"/>
          </w:tcPr>
          <w:p w14:paraId="502E0615" w14:textId="6573B44C" w:rsidR="0030536A" w:rsidRPr="0030536A" w:rsidRDefault="0030536A" w:rsidP="00A65D35">
            <w:pPr>
              <w:pStyle w:val="af"/>
            </w:pPr>
            <w:r w:rsidRPr="0030536A">
              <w:t>Section 6.4 now provides a concise and balanced justification for selecting Prophet as the preferred model, based on accuracy, interpretability, forecast stability, and suitability for short-term procurement planning.</w:t>
            </w:r>
          </w:p>
        </w:tc>
      </w:tr>
      <w:tr w:rsidR="002B03FB" w14:paraId="311F1E24" w14:textId="77777777" w:rsidTr="003D04CA">
        <w:tc>
          <w:tcPr>
            <w:tcW w:w="9067" w:type="dxa"/>
            <w:gridSpan w:val="3"/>
          </w:tcPr>
          <w:p w14:paraId="39168CAA" w14:textId="23C8F0F8" w:rsidR="002B03FB" w:rsidRPr="00A37158" w:rsidRDefault="002B03FB" w:rsidP="00A65D35">
            <w:pPr>
              <w:pStyle w:val="af"/>
              <w:rPr>
                <w:b/>
                <w:bCs/>
              </w:rPr>
            </w:pPr>
            <w:r w:rsidRPr="00A37158">
              <w:rPr>
                <w:b/>
                <w:bCs/>
              </w:rPr>
              <w:t>Price Forecast for the Next Three Months</w:t>
            </w:r>
          </w:p>
        </w:tc>
      </w:tr>
      <w:tr w:rsidR="002B03FB" w14:paraId="7D12C2B7" w14:textId="77777777" w:rsidTr="00A65D35">
        <w:tc>
          <w:tcPr>
            <w:tcW w:w="704" w:type="dxa"/>
          </w:tcPr>
          <w:p w14:paraId="1A84C869" w14:textId="016AA63E" w:rsidR="002B03FB" w:rsidRDefault="00042B59" w:rsidP="00A65D35">
            <w:pPr>
              <w:pStyle w:val="af"/>
              <w:rPr>
                <w:rFonts w:hint="eastAsia"/>
              </w:rPr>
            </w:pPr>
            <w:r>
              <w:rPr>
                <w:rFonts w:hint="eastAsia"/>
              </w:rPr>
              <w:t>14</w:t>
            </w:r>
          </w:p>
        </w:tc>
        <w:tc>
          <w:tcPr>
            <w:tcW w:w="2977" w:type="dxa"/>
          </w:tcPr>
          <w:p w14:paraId="7309276D" w14:textId="6516B5B9" w:rsidR="002B03FB" w:rsidRPr="0030536A" w:rsidRDefault="002B03FB" w:rsidP="00A65D35">
            <w:pPr>
              <w:pStyle w:val="af"/>
            </w:pPr>
            <w:r w:rsidRPr="002B03FB">
              <w:t>Forecast chapter overly qualitative</w:t>
            </w:r>
          </w:p>
        </w:tc>
        <w:tc>
          <w:tcPr>
            <w:tcW w:w="5386" w:type="dxa"/>
          </w:tcPr>
          <w:p w14:paraId="413A8525" w14:textId="3C97F815" w:rsidR="002B03FB" w:rsidRPr="0030536A" w:rsidRDefault="002B03FB" w:rsidP="00A65D35">
            <w:pPr>
              <w:pStyle w:val="af"/>
            </w:pPr>
            <w:r w:rsidRPr="002B03FB">
              <w:t xml:space="preserve">The chapter has been substantially revised to include concrete quantitative outputs: </w:t>
            </w:r>
            <w:r w:rsidRPr="002B03FB">
              <w:br/>
              <w:t xml:space="preserve">• </w:t>
            </w:r>
            <w:r w:rsidRPr="00A65D35">
              <w:t>Table 7.</w:t>
            </w:r>
            <w:r w:rsidRPr="00A65D35">
              <w:rPr>
                <w:rFonts w:hint="eastAsia"/>
              </w:rPr>
              <w:t>2</w:t>
            </w:r>
            <w:r w:rsidRPr="00A65D35">
              <w:t>:</w:t>
            </w:r>
            <w:r w:rsidRPr="002B03FB">
              <w:t xml:space="preserve"> Three-month forecast summary (average forecast, minimum/maximum point forecasts, and 95% prediction interval) </w:t>
            </w:r>
            <w:r w:rsidRPr="002B03FB">
              <w:br/>
              <w:t xml:space="preserve">• </w:t>
            </w:r>
            <w:r w:rsidRPr="00A65D35">
              <w:t>Table 7.</w:t>
            </w:r>
            <w:r w:rsidRPr="00A65D35">
              <w:rPr>
                <w:rFonts w:hint="eastAsia"/>
              </w:rPr>
              <w:t>3</w:t>
            </w:r>
            <w:r w:rsidRPr="00A65D35">
              <w:t>:</w:t>
            </w:r>
            <w:r w:rsidRPr="002B03FB">
              <w:t xml:space="preserve"> Monthly average forecasts from December 2024 to March 2025 with corresponding 95% prediction intervals</w:t>
            </w:r>
          </w:p>
        </w:tc>
      </w:tr>
      <w:tr w:rsidR="002B03FB" w14:paraId="5EDEAC0A" w14:textId="77777777" w:rsidTr="00A65D35">
        <w:tc>
          <w:tcPr>
            <w:tcW w:w="704" w:type="dxa"/>
          </w:tcPr>
          <w:p w14:paraId="6AB57DD8" w14:textId="6708C4B1" w:rsidR="002B03FB" w:rsidRDefault="00042B59" w:rsidP="00A65D35">
            <w:pPr>
              <w:pStyle w:val="af"/>
              <w:rPr>
                <w:rFonts w:hint="eastAsia"/>
              </w:rPr>
            </w:pPr>
            <w:r>
              <w:rPr>
                <w:rFonts w:hint="eastAsia"/>
              </w:rPr>
              <w:t>15</w:t>
            </w:r>
          </w:p>
        </w:tc>
        <w:tc>
          <w:tcPr>
            <w:tcW w:w="2977" w:type="dxa"/>
          </w:tcPr>
          <w:p w14:paraId="4FA9BEAE" w14:textId="5A0ACF0C" w:rsidR="002B03FB" w:rsidRPr="002B03FB" w:rsidRDefault="002B03FB" w:rsidP="00A65D35">
            <w:pPr>
              <w:pStyle w:val="af"/>
            </w:pPr>
            <w:r w:rsidRPr="002B03FB">
              <w:t>Confidence intervals not clearly reported</w:t>
            </w:r>
          </w:p>
        </w:tc>
        <w:tc>
          <w:tcPr>
            <w:tcW w:w="5386" w:type="dxa"/>
          </w:tcPr>
          <w:p w14:paraId="3E04F2AD" w14:textId="4B18C035" w:rsidR="002B03FB" w:rsidRPr="002B03FB" w:rsidRDefault="002B03FB" w:rsidP="00A65D35">
            <w:pPr>
              <w:pStyle w:val="af"/>
            </w:pPr>
            <w:r w:rsidRPr="002B03FB">
              <w:t>Sections 7.2 and 7.3 now explicitly report and interpret the 95% prediction intervals, highlighting their implications for procurement risk management.</w:t>
            </w:r>
          </w:p>
        </w:tc>
      </w:tr>
      <w:tr w:rsidR="002B03FB" w14:paraId="26D0C21F" w14:textId="77777777" w:rsidTr="00A65D35">
        <w:tc>
          <w:tcPr>
            <w:tcW w:w="704" w:type="dxa"/>
          </w:tcPr>
          <w:p w14:paraId="59DC9980" w14:textId="6D919F97" w:rsidR="002B03FB" w:rsidRDefault="00042B59" w:rsidP="00A65D35">
            <w:pPr>
              <w:pStyle w:val="af"/>
              <w:rPr>
                <w:rFonts w:hint="eastAsia"/>
              </w:rPr>
            </w:pPr>
            <w:r>
              <w:rPr>
                <w:rFonts w:hint="eastAsia"/>
              </w:rPr>
              <w:t>16</w:t>
            </w:r>
          </w:p>
        </w:tc>
        <w:tc>
          <w:tcPr>
            <w:tcW w:w="29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45"/>
            </w:tblGrid>
            <w:tr w:rsidR="002B03FB" w:rsidRPr="002B03FB" w14:paraId="79C2A231" w14:textId="77777777" w:rsidTr="002B03FB">
              <w:trPr>
                <w:gridAfter w:val="1"/>
                <w:tblCellSpacing w:w="15" w:type="dxa"/>
              </w:trPr>
              <w:tc>
                <w:tcPr>
                  <w:tcW w:w="0" w:type="auto"/>
                  <w:vAlign w:val="center"/>
                  <w:hideMark/>
                </w:tcPr>
                <w:p w14:paraId="6E70D5B0" w14:textId="77777777" w:rsidR="002B03FB" w:rsidRPr="002B03FB" w:rsidRDefault="002B03FB" w:rsidP="00A65D35">
                  <w:pPr>
                    <w:pStyle w:val="af"/>
                  </w:pPr>
                </w:p>
              </w:tc>
            </w:tr>
            <w:tr w:rsidR="002B03FB" w:rsidRPr="002B03FB" w14:paraId="48FD7136" w14:textId="77777777" w:rsidTr="002B03FB">
              <w:trPr>
                <w:tblCellSpacing w:w="15" w:type="dxa"/>
              </w:trPr>
              <w:tc>
                <w:tcPr>
                  <w:tcW w:w="0" w:type="auto"/>
                  <w:gridSpan w:val="2"/>
                  <w:vAlign w:val="center"/>
                  <w:hideMark/>
                </w:tcPr>
                <w:p w14:paraId="1E9EB11D" w14:textId="77777777" w:rsidR="002B03FB" w:rsidRPr="002B03FB" w:rsidRDefault="002B03FB" w:rsidP="00A65D35">
                  <w:pPr>
                    <w:pStyle w:val="af"/>
                  </w:pPr>
                  <w:r w:rsidRPr="002B03FB">
                    <w:t>Forecasting strategy not clearly defined</w:t>
                  </w:r>
                </w:p>
              </w:tc>
            </w:tr>
          </w:tbl>
          <w:p w14:paraId="7EF9A0DB" w14:textId="77777777" w:rsidR="002B03FB" w:rsidRPr="002B03FB" w:rsidRDefault="002B03FB" w:rsidP="00A65D35">
            <w:pPr>
              <w:pStyle w:val="af"/>
            </w:pPr>
          </w:p>
        </w:tc>
        <w:tc>
          <w:tcPr>
            <w:tcW w:w="5386" w:type="dxa"/>
          </w:tcPr>
          <w:p w14:paraId="499CFE33" w14:textId="5306B67B" w:rsidR="002B03FB" w:rsidRPr="002B03FB" w:rsidRDefault="002B03FB" w:rsidP="00A65D35">
            <w:pPr>
              <w:pStyle w:val="af"/>
            </w:pPr>
            <w:r w:rsidRPr="002B03FB">
              <w:t xml:space="preserve">Section 7.1 now clearly states that a </w:t>
            </w:r>
            <w:r w:rsidRPr="00A65D35">
              <w:t>direct multi-step forecasting approach</w:t>
            </w:r>
            <w:r w:rsidRPr="002B03FB">
              <w:t xml:space="preserve"> was used, generating a single 90-day-ahead forecast without rolling retraining.</w:t>
            </w:r>
          </w:p>
        </w:tc>
      </w:tr>
      <w:tr w:rsidR="002B03FB" w14:paraId="07726A65" w14:textId="77777777" w:rsidTr="00A65D35">
        <w:tc>
          <w:tcPr>
            <w:tcW w:w="704" w:type="dxa"/>
          </w:tcPr>
          <w:p w14:paraId="652F1696" w14:textId="68580AF5" w:rsidR="002B03FB" w:rsidRDefault="00042B59" w:rsidP="00A65D35">
            <w:pPr>
              <w:pStyle w:val="af"/>
              <w:rPr>
                <w:rFonts w:hint="eastAsia"/>
              </w:rPr>
            </w:pPr>
            <w:r>
              <w:rPr>
                <w:rFonts w:hint="eastAsia"/>
              </w:rPr>
              <w:t>17</w:t>
            </w:r>
          </w:p>
        </w:tc>
        <w:tc>
          <w:tcPr>
            <w:tcW w:w="2977" w:type="dxa"/>
          </w:tcPr>
          <w:p w14:paraId="5A8269C8" w14:textId="48070817" w:rsidR="002B03FB" w:rsidRPr="002B03FB" w:rsidRDefault="002B03FB" w:rsidP="00A65D35">
            <w:pPr>
              <w:pStyle w:val="af"/>
            </w:pPr>
            <w:r w:rsidRPr="002B03FB">
              <w:t>Model configuration must be reproducible</w:t>
            </w:r>
          </w:p>
        </w:tc>
        <w:tc>
          <w:tcPr>
            <w:tcW w:w="53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5"/>
              <w:gridCol w:w="45"/>
            </w:tblGrid>
            <w:tr w:rsidR="002B03FB" w:rsidRPr="002B03FB" w14:paraId="7622E69B" w14:textId="77777777" w:rsidTr="002B03FB">
              <w:trPr>
                <w:gridAfter w:val="1"/>
                <w:tblCellSpacing w:w="15" w:type="dxa"/>
              </w:trPr>
              <w:tc>
                <w:tcPr>
                  <w:tcW w:w="0" w:type="auto"/>
                  <w:vAlign w:val="center"/>
                  <w:hideMark/>
                </w:tcPr>
                <w:p w14:paraId="040CB25A" w14:textId="3F0BF464" w:rsidR="002B03FB" w:rsidRPr="002B03FB" w:rsidRDefault="002B03FB" w:rsidP="00A65D35">
                  <w:pPr>
                    <w:pStyle w:val="af"/>
                    <w:rPr>
                      <w:rFonts w:hint="eastAsia"/>
                    </w:rPr>
                  </w:pPr>
                </w:p>
              </w:tc>
            </w:tr>
            <w:tr w:rsidR="002B03FB" w:rsidRPr="002B03FB" w14:paraId="650DE01E" w14:textId="77777777" w:rsidTr="002B03FB">
              <w:trPr>
                <w:tblCellSpacing w:w="15" w:type="dxa"/>
              </w:trPr>
              <w:tc>
                <w:tcPr>
                  <w:tcW w:w="0" w:type="auto"/>
                  <w:gridSpan w:val="2"/>
                  <w:vAlign w:val="center"/>
                  <w:hideMark/>
                </w:tcPr>
                <w:p w14:paraId="76C0FF45" w14:textId="77777777" w:rsidR="002B03FB" w:rsidRPr="002B03FB" w:rsidRDefault="002B03FB" w:rsidP="00A65D35">
                  <w:pPr>
                    <w:pStyle w:val="af"/>
                  </w:pPr>
                  <w:r w:rsidRPr="002B03FB">
                    <w:t xml:space="preserve">The final Prophet configuration is fully documented in Section 7.1, including weekly and yearly seasonality, </w:t>
                  </w:r>
                  <w:r w:rsidRPr="002B03FB">
                    <w:lastRenderedPageBreak/>
                    <w:t>exclusion of daily seasonality, no holiday effects, and a changepoint prior scale of 0.05.</w:t>
                  </w:r>
                </w:p>
              </w:tc>
            </w:tr>
          </w:tbl>
          <w:p w14:paraId="58211012" w14:textId="77777777" w:rsidR="002B03FB" w:rsidRPr="002B03FB" w:rsidRDefault="002B03FB" w:rsidP="00A65D35">
            <w:pPr>
              <w:pStyle w:val="af"/>
            </w:pPr>
          </w:p>
        </w:tc>
      </w:tr>
      <w:tr w:rsidR="002B03FB" w14:paraId="20EF9D39" w14:textId="77777777" w:rsidTr="00A65D35">
        <w:tc>
          <w:tcPr>
            <w:tcW w:w="704" w:type="dxa"/>
          </w:tcPr>
          <w:p w14:paraId="24A29802" w14:textId="3D26D694" w:rsidR="002B03FB" w:rsidRDefault="00042B59" w:rsidP="00A65D35">
            <w:pPr>
              <w:pStyle w:val="af"/>
              <w:rPr>
                <w:rFonts w:hint="eastAsia"/>
              </w:rPr>
            </w:pPr>
            <w:r>
              <w:rPr>
                <w:rFonts w:hint="eastAsia"/>
              </w:rPr>
              <w:lastRenderedPageBreak/>
              <w:t>18</w:t>
            </w:r>
          </w:p>
        </w:tc>
        <w:tc>
          <w:tcPr>
            <w:tcW w:w="2977" w:type="dxa"/>
          </w:tcPr>
          <w:p w14:paraId="0CAE5C2C" w14:textId="1516B265" w:rsidR="002B03FB" w:rsidRPr="002B03FB" w:rsidRDefault="002B03FB" w:rsidP="00A65D35">
            <w:pPr>
              <w:pStyle w:val="af"/>
            </w:pPr>
            <w:r w:rsidRPr="002B03FB">
              <w:t>Weak link between forecasts and practical application</w:t>
            </w:r>
          </w:p>
        </w:tc>
        <w:tc>
          <w:tcPr>
            <w:tcW w:w="5386" w:type="dxa"/>
          </w:tcPr>
          <w:p w14:paraId="1812B67D" w14:textId="6C7D2878" w:rsidR="002B03FB" w:rsidRPr="002B03FB" w:rsidRDefault="002B03FB" w:rsidP="00A65D35">
            <w:pPr>
              <w:pStyle w:val="af"/>
            </w:pPr>
            <w:r w:rsidRPr="002B03FB">
              <w:t>Section 7.4 has been expanded to translate numerical forecasts into procurement-relevant insights, including purchasing timing, interpretation of forecast bounds as risk signals, and the need for flexible, rolling procurement strategies.</w:t>
            </w:r>
          </w:p>
        </w:tc>
      </w:tr>
      <w:tr w:rsidR="002B03FB" w14:paraId="7E51021F" w14:textId="77777777" w:rsidTr="00517B81">
        <w:tc>
          <w:tcPr>
            <w:tcW w:w="9067" w:type="dxa"/>
            <w:gridSpan w:val="3"/>
          </w:tcPr>
          <w:p w14:paraId="187291D3" w14:textId="22FED598" w:rsidR="002B03FB" w:rsidRPr="00362CF1" w:rsidRDefault="002B03FB" w:rsidP="00A65D35">
            <w:pPr>
              <w:pStyle w:val="af"/>
              <w:rPr>
                <w:rFonts w:hint="eastAsia"/>
                <w:b/>
                <w:bCs/>
              </w:rPr>
            </w:pPr>
            <w:r w:rsidRPr="002B03FB">
              <w:rPr>
                <w:b/>
                <w:bCs/>
              </w:rPr>
              <w:t>Formatting and Presentation Improvements</w:t>
            </w:r>
          </w:p>
        </w:tc>
      </w:tr>
      <w:tr w:rsidR="002B03FB" w14:paraId="48563EBE" w14:textId="77777777" w:rsidTr="00A65D35">
        <w:tc>
          <w:tcPr>
            <w:tcW w:w="704" w:type="dxa"/>
          </w:tcPr>
          <w:p w14:paraId="49695A2E" w14:textId="00362195" w:rsidR="002B03FB" w:rsidRDefault="00042B59" w:rsidP="00A65D35">
            <w:pPr>
              <w:pStyle w:val="af"/>
              <w:rPr>
                <w:rFonts w:hint="eastAsia"/>
              </w:rPr>
            </w:pPr>
            <w:r>
              <w:rPr>
                <w:rFonts w:hint="eastAsia"/>
              </w:rPr>
              <w:t>19</w:t>
            </w:r>
          </w:p>
        </w:tc>
        <w:tc>
          <w:tcPr>
            <w:tcW w:w="2977" w:type="dxa"/>
          </w:tcPr>
          <w:p w14:paraId="69B5774B" w14:textId="3B43D3C9" w:rsidR="002B03FB" w:rsidRPr="002B03FB" w:rsidRDefault="002B03FB" w:rsidP="00A65D35">
            <w:pPr>
              <w:pStyle w:val="af"/>
            </w:pPr>
            <w:r w:rsidRPr="002B03FB">
              <w:t>Consistency, clarity, and formatting</w:t>
            </w:r>
          </w:p>
        </w:tc>
        <w:tc>
          <w:tcPr>
            <w:tcW w:w="5386" w:type="dxa"/>
          </w:tcPr>
          <w:p w14:paraId="71AE5741" w14:textId="23757AB1" w:rsidR="002B03FB" w:rsidRPr="002B03FB" w:rsidRDefault="002B03FB" w:rsidP="00A65D35">
            <w:pPr>
              <w:pStyle w:val="af"/>
            </w:pPr>
            <w:r w:rsidRPr="002B03FB">
              <w:t xml:space="preserve">Headings, punctuation, and terminology have been </w:t>
            </w:r>
            <w:r w:rsidRPr="002B03FB">
              <w:t>standardized</w:t>
            </w:r>
            <w:r w:rsidRPr="002B03FB">
              <w:t xml:space="preserve"> across all chapters. Redundant or repetitive sentences have been removed to improve clarity and coherence.</w:t>
            </w:r>
          </w:p>
        </w:tc>
      </w:tr>
    </w:tbl>
    <w:p w14:paraId="71D31D76" w14:textId="3B8D7EE7" w:rsidR="00BE1F65" w:rsidRPr="008D2ADD" w:rsidRDefault="00BE1F65" w:rsidP="00A65D35">
      <w:pPr>
        <w:pStyle w:val="af"/>
        <w:rPr>
          <w:rFonts w:hint="eastAsia"/>
        </w:rPr>
      </w:pPr>
    </w:p>
    <w:sectPr w:rsidR="00BE1F65" w:rsidRPr="008D2A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2F11" w14:textId="77777777" w:rsidR="002A50DB" w:rsidRDefault="002A50DB">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34EF3"/>
    <w:multiLevelType w:val="multilevel"/>
    <w:tmpl w:val="2BD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509D5"/>
    <w:multiLevelType w:val="multilevel"/>
    <w:tmpl w:val="DE5A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7A2B94"/>
    <w:multiLevelType w:val="multilevel"/>
    <w:tmpl w:val="125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142029">
    <w:abstractNumId w:val="1"/>
  </w:num>
  <w:num w:numId="2" w16cid:durableId="1832598613">
    <w:abstractNumId w:val="0"/>
  </w:num>
  <w:num w:numId="3" w16cid:durableId="317809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277"/>
    <w:rsid w:val="00042B59"/>
    <w:rsid w:val="00201CBD"/>
    <w:rsid w:val="002A50DB"/>
    <w:rsid w:val="002B03FB"/>
    <w:rsid w:val="0030536A"/>
    <w:rsid w:val="00362CF1"/>
    <w:rsid w:val="004A3277"/>
    <w:rsid w:val="005237BE"/>
    <w:rsid w:val="00552C35"/>
    <w:rsid w:val="007A6764"/>
    <w:rsid w:val="00824F34"/>
    <w:rsid w:val="00875AEB"/>
    <w:rsid w:val="008D2ADD"/>
    <w:rsid w:val="00A37158"/>
    <w:rsid w:val="00A65D35"/>
    <w:rsid w:val="00BE1F65"/>
    <w:rsid w:val="00E203B3"/>
    <w:rsid w:val="00EC2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C2E4A"/>
  <w15:chartTrackingRefBased/>
  <w15:docId w15:val="{F6059FFB-65B6-4BB1-A1A8-8C2352A97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32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32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32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32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32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A32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32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32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327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32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32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32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3277"/>
    <w:rPr>
      <w:rFonts w:cstheme="majorBidi"/>
      <w:color w:val="0F4761" w:themeColor="accent1" w:themeShade="BF"/>
      <w:sz w:val="28"/>
      <w:szCs w:val="28"/>
    </w:rPr>
  </w:style>
  <w:style w:type="character" w:customStyle="1" w:styleId="50">
    <w:name w:val="标题 5 字符"/>
    <w:basedOn w:val="a0"/>
    <w:link w:val="5"/>
    <w:uiPriority w:val="9"/>
    <w:semiHidden/>
    <w:rsid w:val="004A3277"/>
    <w:rPr>
      <w:rFonts w:cstheme="majorBidi"/>
      <w:color w:val="0F4761" w:themeColor="accent1" w:themeShade="BF"/>
      <w:sz w:val="24"/>
      <w:szCs w:val="24"/>
    </w:rPr>
  </w:style>
  <w:style w:type="character" w:customStyle="1" w:styleId="60">
    <w:name w:val="标题 6 字符"/>
    <w:basedOn w:val="a0"/>
    <w:link w:val="6"/>
    <w:uiPriority w:val="9"/>
    <w:semiHidden/>
    <w:rsid w:val="004A3277"/>
    <w:rPr>
      <w:rFonts w:cstheme="majorBidi"/>
      <w:b/>
      <w:bCs/>
      <w:color w:val="0F4761" w:themeColor="accent1" w:themeShade="BF"/>
    </w:rPr>
  </w:style>
  <w:style w:type="character" w:customStyle="1" w:styleId="70">
    <w:name w:val="标题 7 字符"/>
    <w:basedOn w:val="a0"/>
    <w:link w:val="7"/>
    <w:uiPriority w:val="9"/>
    <w:semiHidden/>
    <w:rsid w:val="004A3277"/>
    <w:rPr>
      <w:rFonts w:cstheme="majorBidi"/>
      <w:b/>
      <w:bCs/>
      <w:color w:val="595959" w:themeColor="text1" w:themeTint="A6"/>
    </w:rPr>
  </w:style>
  <w:style w:type="character" w:customStyle="1" w:styleId="80">
    <w:name w:val="标题 8 字符"/>
    <w:basedOn w:val="a0"/>
    <w:link w:val="8"/>
    <w:uiPriority w:val="9"/>
    <w:semiHidden/>
    <w:rsid w:val="004A3277"/>
    <w:rPr>
      <w:rFonts w:cstheme="majorBidi"/>
      <w:color w:val="595959" w:themeColor="text1" w:themeTint="A6"/>
    </w:rPr>
  </w:style>
  <w:style w:type="character" w:customStyle="1" w:styleId="90">
    <w:name w:val="标题 9 字符"/>
    <w:basedOn w:val="a0"/>
    <w:link w:val="9"/>
    <w:uiPriority w:val="9"/>
    <w:semiHidden/>
    <w:rsid w:val="004A3277"/>
    <w:rPr>
      <w:rFonts w:eastAsiaTheme="majorEastAsia" w:cstheme="majorBidi"/>
      <w:color w:val="595959" w:themeColor="text1" w:themeTint="A6"/>
    </w:rPr>
  </w:style>
  <w:style w:type="paragraph" w:styleId="a3">
    <w:name w:val="Title"/>
    <w:basedOn w:val="a"/>
    <w:next w:val="a"/>
    <w:link w:val="a4"/>
    <w:uiPriority w:val="10"/>
    <w:qFormat/>
    <w:rsid w:val="004A32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32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32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32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3277"/>
    <w:pPr>
      <w:spacing w:before="160" w:after="160"/>
      <w:jc w:val="center"/>
    </w:pPr>
    <w:rPr>
      <w:i/>
      <w:iCs/>
      <w:color w:val="404040" w:themeColor="text1" w:themeTint="BF"/>
    </w:rPr>
  </w:style>
  <w:style w:type="character" w:customStyle="1" w:styleId="a8">
    <w:name w:val="引用 字符"/>
    <w:basedOn w:val="a0"/>
    <w:link w:val="a7"/>
    <w:uiPriority w:val="29"/>
    <w:rsid w:val="004A3277"/>
    <w:rPr>
      <w:i/>
      <w:iCs/>
      <w:color w:val="404040" w:themeColor="text1" w:themeTint="BF"/>
    </w:rPr>
  </w:style>
  <w:style w:type="paragraph" w:styleId="a9">
    <w:name w:val="List Paragraph"/>
    <w:basedOn w:val="a"/>
    <w:uiPriority w:val="34"/>
    <w:qFormat/>
    <w:rsid w:val="004A3277"/>
    <w:pPr>
      <w:ind w:left="720"/>
      <w:contextualSpacing/>
    </w:pPr>
  </w:style>
  <w:style w:type="character" w:styleId="aa">
    <w:name w:val="Intense Emphasis"/>
    <w:basedOn w:val="a0"/>
    <w:uiPriority w:val="21"/>
    <w:qFormat/>
    <w:rsid w:val="004A3277"/>
    <w:rPr>
      <w:i/>
      <w:iCs/>
      <w:color w:val="0F4761" w:themeColor="accent1" w:themeShade="BF"/>
    </w:rPr>
  </w:style>
  <w:style w:type="paragraph" w:styleId="ab">
    <w:name w:val="Intense Quote"/>
    <w:basedOn w:val="a"/>
    <w:next w:val="a"/>
    <w:link w:val="ac"/>
    <w:uiPriority w:val="30"/>
    <w:qFormat/>
    <w:rsid w:val="004A3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3277"/>
    <w:rPr>
      <w:i/>
      <w:iCs/>
      <w:color w:val="0F4761" w:themeColor="accent1" w:themeShade="BF"/>
    </w:rPr>
  </w:style>
  <w:style w:type="character" w:styleId="ad">
    <w:name w:val="Intense Reference"/>
    <w:basedOn w:val="a0"/>
    <w:uiPriority w:val="32"/>
    <w:qFormat/>
    <w:rsid w:val="004A3277"/>
    <w:rPr>
      <w:b/>
      <w:bCs/>
      <w:smallCaps/>
      <w:color w:val="0F4761" w:themeColor="accent1" w:themeShade="BF"/>
      <w:spacing w:val="5"/>
    </w:rPr>
  </w:style>
  <w:style w:type="table" w:styleId="ae">
    <w:name w:val="Table Grid"/>
    <w:basedOn w:val="a1"/>
    <w:uiPriority w:val="39"/>
    <w:rsid w:val="00E20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uiPriority w:val="1"/>
    <w:qFormat/>
    <w:rsid w:val="00E203B3"/>
    <w:pPr>
      <w:widowControl w:val="0"/>
      <w:jc w:val="both"/>
    </w:pPr>
  </w:style>
  <w:style w:type="character" w:styleId="af0">
    <w:name w:val="Strong"/>
    <w:basedOn w:val="a0"/>
    <w:uiPriority w:val="22"/>
    <w:qFormat/>
    <w:rsid w:val="002B0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639">
      <w:bodyDiv w:val="1"/>
      <w:marLeft w:val="0"/>
      <w:marRight w:val="0"/>
      <w:marTop w:val="0"/>
      <w:marBottom w:val="0"/>
      <w:divBdr>
        <w:top w:val="none" w:sz="0" w:space="0" w:color="auto"/>
        <w:left w:val="none" w:sz="0" w:space="0" w:color="auto"/>
        <w:bottom w:val="none" w:sz="0" w:space="0" w:color="auto"/>
        <w:right w:val="none" w:sz="0" w:space="0" w:color="auto"/>
      </w:divBdr>
    </w:div>
    <w:div w:id="371812051">
      <w:bodyDiv w:val="1"/>
      <w:marLeft w:val="0"/>
      <w:marRight w:val="0"/>
      <w:marTop w:val="0"/>
      <w:marBottom w:val="0"/>
      <w:divBdr>
        <w:top w:val="none" w:sz="0" w:space="0" w:color="auto"/>
        <w:left w:val="none" w:sz="0" w:space="0" w:color="auto"/>
        <w:bottom w:val="none" w:sz="0" w:space="0" w:color="auto"/>
        <w:right w:val="none" w:sz="0" w:space="0" w:color="auto"/>
      </w:divBdr>
    </w:div>
    <w:div w:id="444085500">
      <w:bodyDiv w:val="1"/>
      <w:marLeft w:val="0"/>
      <w:marRight w:val="0"/>
      <w:marTop w:val="0"/>
      <w:marBottom w:val="0"/>
      <w:divBdr>
        <w:top w:val="none" w:sz="0" w:space="0" w:color="auto"/>
        <w:left w:val="none" w:sz="0" w:space="0" w:color="auto"/>
        <w:bottom w:val="none" w:sz="0" w:space="0" w:color="auto"/>
        <w:right w:val="none" w:sz="0" w:space="0" w:color="auto"/>
      </w:divBdr>
    </w:div>
    <w:div w:id="524101384">
      <w:bodyDiv w:val="1"/>
      <w:marLeft w:val="0"/>
      <w:marRight w:val="0"/>
      <w:marTop w:val="0"/>
      <w:marBottom w:val="0"/>
      <w:divBdr>
        <w:top w:val="none" w:sz="0" w:space="0" w:color="auto"/>
        <w:left w:val="none" w:sz="0" w:space="0" w:color="auto"/>
        <w:bottom w:val="none" w:sz="0" w:space="0" w:color="auto"/>
        <w:right w:val="none" w:sz="0" w:space="0" w:color="auto"/>
      </w:divBdr>
    </w:div>
    <w:div w:id="587157019">
      <w:bodyDiv w:val="1"/>
      <w:marLeft w:val="0"/>
      <w:marRight w:val="0"/>
      <w:marTop w:val="0"/>
      <w:marBottom w:val="0"/>
      <w:divBdr>
        <w:top w:val="none" w:sz="0" w:space="0" w:color="auto"/>
        <w:left w:val="none" w:sz="0" w:space="0" w:color="auto"/>
        <w:bottom w:val="none" w:sz="0" w:space="0" w:color="auto"/>
        <w:right w:val="none" w:sz="0" w:space="0" w:color="auto"/>
      </w:divBdr>
    </w:div>
    <w:div w:id="625702673">
      <w:bodyDiv w:val="1"/>
      <w:marLeft w:val="0"/>
      <w:marRight w:val="0"/>
      <w:marTop w:val="0"/>
      <w:marBottom w:val="0"/>
      <w:divBdr>
        <w:top w:val="none" w:sz="0" w:space="0" w:color="auto"/>
        <w:left w:val="none" w:sz="0" w:space="0" w:color="auto"/>
        <w:bottom w:val="none" w:sz="0" w:space="0" w:color="auto"/>
        <w:right w:val="none" w:sz="0" w:space="0" w:color="auto"/>
      </w:divBdr>
    </w:div>
    <w:div w:id="718406738">
      <w:bodyDiv w:val="1"/>
      <w:marLeft w:val="0"/>
      <w:marRight w:val="0"/>
      <w:marTop w:val="0"/>
      <w:marBottom w:val="0"/>
      <w:divBdr>
        <w:top w:val="none" w:sz="0" w:space="0" w:color="auto"/>
        <w:left w:val="none" w:sz="0" w:space="0" w:color="auto"/>
        <w:bottom w:val="none" w:sz="0" w:space="0" w:color="auto"/>
        <w:right w:val="none" w:sz="0" w:space="0" w:color="auto"/>
      </w:divBdr>
    </w:div>
    <w:div w:id="829324158">
      <w:bodyDiv w:val="1"/>
      <w:marLeft w:val="0"/>
      <w:marRight w:val="0"/>
      <w:marTop w:val="0"/>
      <w:marBottom w:val="0"/>
      <w:divBdr>
        <w:top w:val="none" w:sz="0" w:space="0" w:color="auto"/>
        <w:left w:val="none" w:sz="0" w:space="0" w:color="auto"/>
        <w:bottom w:val="none" w:sz="0" w:space="0" w:color="auto"/>
        <w:right w:val="none" w:sz="0" w:space="0" w:color="auto"/>
      </w:divBdr>
    </w:div>
    <w:div w:id="871654984">
      <w:bodyDiv w:val="1"/>
      <w:marLeft w:val="0"/>
      <w:marRight w:val="0"/>
      <w:marTop w:val="0"/>
      <w:marBottom w:val="0"/>
      <w:divBdr>
        <w:top w:val="none" w:sz="0" w:space="0" w:color="auto"/>
        <w:left w:val="none" w:sz="0" w:space="0" w:color="auto"/>
        <w:bottom w:val="none" w:sz="0" w:space="0" w:color="auto"/>
        <w:right w:val="none" w:sz="0" w:space="0" w:color="auto"/>
      </w:divBdr>
    </w:div>
    <w:div w:id="939408297">
      <w:bodyDiv w:val="1"/>
      <w:marLeft w:val="0"/>
      <w:marRight w:val="0"/>
      <w:marTop w:val="0"/>
      <w:marBottom w:val="0"/>
      <w:divBdr>
        <w:top w:val="none" w:sz="0" w:space="0" w:color="auto"/>
        <w:left w:val="none" w:sz="0" w:space="0" w:color="auto"/>
        <w:bottom w:val="none" w:sz="0" w:space="0" w:color="auto"/>
        <w:right w:val="none" w:sz="0" w:space="0" w:color="auto"/>
      </w:divBdr>
    </w:div>
    <w:div w:id="1020622160">
      <w:bodyDiv w:val="1"/>
      <w:marLeft w:val="0"/>
      <w:marRight w:val="0"/>
      <w:marTop w:val="0"/>
      <w:marBottom w:val="0"/>
      <w:divBdr>
        <w:top w:val="none" w:sz="0" w:space="0" w:color="auto"/>
        <w:left w:val="none" w:sz="0" w:space="0" w:color="auto"/>
        <w:bottom w:val="none" w:sz="0" w:space="0" w:color="auto"/>
        <w:right w:val="none" w:sz="0" w:space="0" w:color="auto"/>
      </w:divBdr>
    </w:div>
    <w:div w:id="1068042278">
      <w:bodyDiv w:val="1"/>
      <w:marLeft w:val="0"/>
      <w:marRight w:val="0"/>
      <w:marTop w:val="0"/>
      <w:marBottom w:val="0"/>
      <w:divBdr>
        <w:top w:val="none" w:sz="0" w:space="0" w:color="auto"/>
        <w:left w:val="none" w:sz="0" w:space="0" w:color="auto"/>
        <w:bottom w:val="none" w:sz="0" w:space="0" w:color="auto"/>
        <w:right w:val="none" w:sz="0" w:space="0" w:color="auto"/>
      </w:divBdr>
    </w:div>
    <w:div w:id="1105929815">
      <w:bodyDiv w:val="1"/>
      <w:marLeft w:val="0"/>
      <w:marRight w:val="0"/>
      <w:marTop w:val="0"/>
      <w:marBottom w:val="0"/>
      <w:divBdr>
        <w:top w:val="none" w:sz="0" w:space="0" w:color="auto"/>
        <w:left w:val="none" w:sz="0" w:space="0" w:color="auto"/>
        <w:bottom w:val="none" w:sz="0" w:space="0" w:color="auto"/>
        <w:right w:val="none" w:sz="0" w:space="0" w:color="auto"/>
      </w:divBdr>
    </w:div>
    <w:div w:id="1184324434">
      <w:bodyDiv w:val="1"/>
      <w:marLeft w:val="0"/>
      <w:marRight w:val="0"/>
      <w:marTop w:val="0"/>
      <w:marBottom w:val="0"/>
      <w:divBdr>
        <w:top w:val="none" w:sz="0" w:space="0" w:color="auto"/>
        <w:left w:val="none" w:sz="0" w:space="0" w:color="auto"/>
        <w:bottom w:val="none" w:sz="0" w:space="0" w:color="auto"/>
        <w:right w:val="none" w:sz="0" w:space="0" w:color="auto"/>
      </w:divBdr>
    </w:div>
    <w:div w:id="1226648881">
      <w:bodyDiv w:val="1"/>
      <w:marLeft w:val="0"/>
      <w:marRight w:val="0"/>
      <w:marTop w:val="0"/>
      <w:marBottom w:val="0"/>
      <w:divBdr>
        <w:top w:val="none" w:sz="0" w:space="0" w:color="auto"/>
        <w:left w:val="none" w:sz="0" w:space="0" w:color="auto"/>
        <w:bottom w:val="none" w:sz="0" w:space="0" w:color="auto"/>
        <w:right w:val="none" w:sz="0" w:space="0" w:color="auto"/>
      </w:divBdr>
    </w:div>
    <w:div w:id="1302416854">
      <w:bodyDiv w:val="1"/>
      <w:marLeft w:val="0"/>
      <w:marRight w:val="0"/>
      <w:marTop w:val="0"/>
      <w:marBottom w:val="0"/>
      <w:divBdr>
        <w:top w:val="none" w:sz="0" w:space="0" w:color="auto"/>
        <w:left w:val="none" w:sz="0" w:space="0" w:color="auto"/>
        <w:bottom w:val="none" w:sz="0" w:space="0" w:color="auto"/>
        <w:right w:val="none" w:sz="0" w:space="0" w:color="auto"/>
      </w:divBdr>
    </w:div>
    <w:div w:id="1316488352">
      <w:bodyDiv w:val="1"/>
      <w:marLeft w:val="0"/>
      <w:marRight w:val="0"/>
      <w:marTop w:val="0"/>
      <w:marBottom w:val="0"/>
      <w:divBdr>
        <w:top w:val="none" w:sz="0" w:space="0" w:color="auto"/>
        <w:left w:val="none" w:sz="0" w:space="0" w:color="auto"/>
        <w:bottom w:val="none" w:sz="0" w:space="0" w:color="auto"/>
        <w:right w:val="none" w:sz="0" w:space="0" w:color="auto"/>
      </w:divBdr>
    </w:div>
    <w:div w:id="1321739603">
      <w:bodyDiv w:val="1"/>
      <w:marLeft w:val="0"/>
      <w:marRight w:val="0"/>
      <w:marTop w:val="0"/>
      <w:marBottom w:val="0"/>
      <w:divBdr>
        <w:top w:val="none" w:sz="0" w:space="0" w:color="auto"/>
        <w:left w:val="none" w:sz="0" w:space="0" w:color="auto"/>
        <w:bottom w:val="none" w:sz="0" w:space="0" w:color="auto"/>
        <w:right w:val="none" w:sz="0" w:space="0" w:color="auto"/>
      </w:divBdr>
    </w:div>
    <w:div w:id="1472333136">
      <w:bodyDiv w:val="1"/>
      <w:marLeft w:val="0"/>
      <w:marRight w:val="0"/>
      <w:marTop w:val="0"/>
      <w:marBottom w:val="0"/>
      <w:divBdr>
        <w:top w:val="none" w:sz="0" w:space="0" w:color="auto"/>
        <w:left w:val="none" w:sz="0" w:space="0" w:color="auto"/>
        <w:bottom w:val="none" w:sz="0" w:space="0" w:color="auto"/>
        <w:right w:val="none" w:sz="0" w:space="0" w:color="auto"/>
      </w:divBdr>
    </w:div>
    <w:div w:id="1488084404">
      <w:bodyDiv w:val="1"/>
      <w:marLeft w:val="0"/>
      <w:marRight w:val="0"/>
      <w:marTop w:val="0"/>
      <w:marBottom w:val="0"/>
      <w:divBdr>
        <w:top w:val="none" w:sz="0" w:space="0" w:color="auto"/>
        <w:left w:val="none" w:sz="0" w:space="0" w:color="auto"/>
        <w:bottom w:val="none" w:sz="0" w:space="0" w:color="auto"/>
        <w:right w:val="none" w:sz="0" w:space="0" w:color="auto"/>
      </w:divBdr>
    </w:div>
    <w:div w:id="1620380648">
      <w:bodyDiv w:val="1"/>
      <w:marLeft w:val="0"/>
      <w:marRight w:val="0"/>
      <w:marTop w:val="0"/>
      <w:marBottom w:val="0"/>
      <w:divBdr>
        <w:top w:val="none" w:sz="0" w:space="0" w:color="auto"/>
        <w:left w:val="none" w:sz="0" w:space="0" w:color="auto"/>
        <w:bottom w:val="none" w:sz="0" w:space="0" w:color="auto"/>
        <w:right w:val="none" w:sz="0" w:space="0" w:color="auto"/>
      </w:divBdr>
    </w:div>
    <w:div w:id="1871604934">
      <w:bodyDiv w:val="1"/>
      <w:marLeft w:val="0"/>
      <w:marRight w:val="0"/>
      <w:marTop w:val="0"/>
      <w:marBottom w:val="0"/>
      <w:divBdr>
        <w:top w:val="none" w:sz="0" w:space="0" w:color="auto"/>
        <w:left w:val="none" w:sz="0" w:space="0" w:color="auto"/>
        <w:bottom w:val="none" w:sz="0" w:space="0" w:color="auto"/>
        <w:right w:val="none" w:sz="0" w:space="0" w:color="auto"/>
      </w:divBdr>
    </w:div>
    <w:div w:id="1906795718">
      <w:bodyDiv w:val="1"/>
      <w:marLeft w:val="0"/>
      <w:marRight w:val="0"/>
      <w:marTop w:val="0"/>
      <w:marBottom w:val="0"/>
      <w:divBdr>
        <w:top w:val="none" w:sz="0" w:space="0" w:color="auto"/>
        <w:left w:val="none" w:sz="0" w:space="0" w:color="auto"/>
        <w:bottom w:val="none" w:sz="0" w:space="0" w:color="auto"/>
        <w:right w:val="none" w:sz="0" w:space="0" w:color="auto"/>
      </w:divBdr>
    </w:div>
    <w:div w:id="1992981609">
      <w:bodyDiv w:val="1"/>
      <w:marLeft w:val="0"/>
      <w:marRight w:val="0"/>
      <w:marTop w:val="0"/>
      <w:marBottom w:val="0"/>
      <w:divBdr>
        <w:top w:val="none" w:sz="0" w:space="0" w:color="auto"/>
        <w:left w:val="none" w:sz="0" w:space="0" w:color="auto"/>
        <w:bottom w:val="none" w:sz="0" w:space="0" w:color="auto"/>
        <w:right w:val="none" w:sz="0" w:space="0" w:color="auto"/>
      </w:divBdr>
    </w:div>
    <w:div w:id="2015186880">
      <w:bodyDiv w:val="1"/>
      <w:marLeft w:val="0"/>
      <w:marRight w:val="0"/>
      <w:marTop w:val="0"/>
      <w:marBottom w:val="0"/>
      <w:divBdr>
        <w:top w:val="none" w:sz="0" w:space="0" w:color="auto"/>
        <w:left w:val="none" w:sz="0" w:space="0" w:color="auto"/>
        <w:bottom w:val="none" w:sz="0" w:space="0" w:color="auto"/>
        <w:right w:val="none" w:sz="0" w:space="0" w:color="auto"/>
      </w:divBdr>
    </w:div>
    <w:div w:id="202593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726</Words>
  <Characters>4599</Characters>
  <Application>Microsoft Office Word</Application>
  <DocSecurity>0</DocSecurity>
  <Lines>80</Lines>
  <Paragraphs>50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 xue</dc:creator>
  <cp:keywords/>
  <dc:description/>
  <cp:lastModifiedBy>qian xue</cp:lastModifiedBy>
  <cp:revision>8</cp:revision>
  <dcterms:created xsi:type="dcterms:W3CDTF">2025-12-18T12:37:00Z</dcterms:created>
  <dcterms:modified xsi:type="dcterms:W3CDTF">2025-12-18T15:51:00Z</dcterms:modified>
</cp:coreProperties>
</file>