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 w:eastAsia="宋体"/>
          <w:b/>
          <w:sz w:val="22"/>
        </w:rPr>
        <w:t>项目</w:t>
      </w:r>
      <w:r>
        <w:rPr>
          <w:rFonts w:ascii="Times New Roman" w:hAnsi="Times New Roman" w:eastAsia="宋体"/>
          <w:b w:val="0"/>
          <w:sz w:val="22"/>
        </w:rPr>
        <w:t>：基于用户历史数据与行为特征的信贷违约预测模型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阶段</w:t>
      </w:r>
      <w:r>
        <w:rPr>
          <w:rFonts w:ascii="Times New Roman" w:hAnsi="Times New Roman" w:eastAsia="宋体"/>
          <w:b w:val="0"/>
          <w:sz w:val="22"/>
        </w:rPr>
        <w:t>：W1 启动与数据探索（2026/8/31 – 9/6）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数据</w:t>
      </w:r>
      <w:r>
        <w:rPr>
          <w:rFonts w:ascii="Times New Roman" w:hAnsi="Times New Roman" w:eastAsia="宋体"/>
          <w:b w:val="0"/>
          <w:sz w:val="22"/>
        </w:rPr>
        <w:t>：阿里天池信贷违约数据集（train 80 万 / testA 20 万）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8"/>
        </w:rPr>
        <w:t>摘要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•  数据整体质量良好：800,000 条记录清洗后保留 798,498 条，仅删除 0.19%，不影响代表性。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•  违约比例约 20%——</w:t>
      </w:r>
      <w:r>
        <w:rPr>
          <w:rFonts w:ascii="Times New Roman" w:hAnsi="Times New Roman" w:eastAsia="宋体"/>
          <w:b/>
          <w:sz w:val="22"/>
        </w:rPr>
        <w:t>每 5 个借款人里约有 1 个违约</w:t>
      </w:r>
      <w:r>
        <w:rPr>
          <w:rFonts w:ascii="Times New Roman" w:hAnsi="Times New Roman" w:eastAsia="宋体"/>
          <w:b w:val="0"/>
          <w:sz w:val="22"/>
        </w:rPr>
        <w:t>，属于"少数人违约"的类别不平衡场景，因此评估不能只看准确率。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•  信用等级是最强的风险分层信号：A 级违约率 6%，G 级接近 50%，</w:t>
      </w:r>
      <w:r>
        <w:rPr>
          <w:rFonts w:ascii="Times New Roman" w:hAnsi="Times New Roman" w:eastAsia="宋体"/>
          <w:b/>
          <w:sz w:val="22"/>
        </w:rPr>
        <w:t>等级本身已浓缩了大量风险信息</w:t>
      </w:r>
      <w:r>
        <w:rPr>
          <w:rFonts w:ascii="Times New Roman" w:hAnsi="Times New Roman" w:eastAsia="宋体"/>
          <w:b w:val="0"/>
          <w:sz w:val="22"/>
        </w:rPr>
        <w:t>，是后续建模的"头号种子特征"。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•  收入、余额等金额变量严重右偏（少数人极高），后续特征工程阶段预计用 log 变换处理。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8"/>
        </w:rPr>
        <w:t>1. 业务理解：我们要预测什么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•  </w:t>
      </w:r>
      <w:r>
        <w:rPr>
          <w:rFonts w:ascii="Times New Roman" w:hAnsi="Times New Roman" w:eastAsia="宋体"/>
          <w:b/>
          <w:sz w:val="22"/>
        </w:rPr>
        <w:t>问题</w:t>
      </w:r>
      <w:r>
        <w:rPr>
          <w:rFonts w:ascii="Times New Roman" w:hAnsi="Times New Roman" w:eastAsia="宋体"/>
          <w:b w:val="0"/>
          <w:sz w:val="22"/>
        </w:rPr>
        <w:t>：根据借款人申请贷款时的历史与行为特征，预测其是否会违约（</w:t>
      </w:r>
      <w:r>
        <w:rPr>
          <w:rFonts w:ascii="Consolas" w:hAnsi="Consolas" w:eastAsia="宋体"/>
          <w:b w:val="0"/>
          <w:sz w:val="22"/>
        </w:rPr>
        <w:t>isDefault=1</w:t>
      </w:r>
      <w:r>
        <w:rPr>
          <w:rFonts w:ascii="Times New Roman" w:hAnsi="Times New Roman" w:eastAsia="宋体"/>
          <w:b w:val="0"/>
          <w:sz w:val="22"/>
        </w:rPr>
        <w:t>）。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•  </w:t>
      </w:r>
      <w:r>
        <w:rPr>
          <w:rFonts w:ascii="Times New Roman" w:hAnsi="Times New Roman" w:eastAsia="宋体"/>
          <w:b/>
          <w:sz w:val="22"/>
        </w:rPr>
        <w:t>业务意义</w:t>
      </w:r>
      <w:r>
        <w:rPr>
          <w:rFonts w:ascii="Times New Roman" w:hAnsi="Times New Roman" w:eastAsia="宋体"/>
          <w:b w:val="0"/>
          <w:sz w:val="22"/>
        </w:rPr>
        <w:t>：金融机构在放款前可用该预测做</w:t>
      </w:r>
      <w:r>
        <w:rPr>
          <w:rFonts w:ascii="Times New Roman" w:hAnsi="Times New Roman" w:eastAsia="宋体"/>
          <w:b/>
          <w:sz w:val="22"/>
        </w:rPr>
        <w:t>风控决策</w:t>
      </w:r>
      <w:r>
        <w:rPr>
          <w:rFonts w:ascii="Times New Roman" w:hAnsi="Times New Roman" w:eastAsia="宋体"/>
          <w:b w:val="0"/>
          <w:sz w:val="22"/>
        </w:rPr>
        <w:t>——拒绝高风险客户、给低风险客户更好的利率、动态调整额度，本质是把"事后亏钱"变成"事前识别"。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•  </w:t>
      </w:r>
      <w:r>
        <w:rPr>
          <w:rFonts w:ascii="Times New Roman" w:hAnsi="Times New Roman" w:eastAsia="宋体"/>
          <w:b/>
          <w:sz w:val="22"/>
        </w:rPr>
        <w:t>目标变量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sz w:val="22"/>
        </w:rPr>
        <w:t>isDefault</w:t>
      </w:r>
      <w:r>
        <w:rPr>
          <w:rFonts w:ascii="Times New Roman" w:hAnsi="Times New Roman" w:eastAsia="宋体"/>
          <w:b w:val="0"/>
          <w:sz w:val="22"/>
        </w:rPr>
        <w:t>，0 = 正常还款，1 = 违约。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8"/>
        </w:rPr>
        <w:t>2. 数据概况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表中数字的来源：</w:t>
      </w:r>
      <w:r>
        <w:rPr>
          <w:rFonts w:ascii="Times New Roman" w:hAnsi="Times New Roman" w:eastAsia="宋体"/>
          <w:b/>
          <w:sz w:val="22"/>
        </w:rPr>
        <w:t>原始行数</w:t>
      </w:r>
      <w:r>
        <w:rPr>
          <w:rFonts w:ascii="Times New Roman" w:hAnsi="Times New Roman" w:eastAsia="宋体"/>
          <w:b w:val="0"/>
          <w:sz w:val="22"/>
        </w:rPr>
        <w:t xml:space="preserve">由 </w:t>
      </w:r>
      <w:r>
        <w:rPr>
          <w:rFonts w:ascii="Consolas" w:hAnsi="Consolas" w:eastAsia="宋体"/>
          <w:b w:val="0"/>
          <w:sz w:val="22"/>
        </w:rPr>
        <w:t>scripts/W1/01_data_exploration.py</w:t>
      </w:r>
      <w:r>
        <w:rPr>
          <w:rFonts w:ascii="Times New Roman" w:hAnsi="Times New Roman" w:eastAsia="宋体"/>
          <w:b w:val="0"/>
          <w:sz w:val="22"/>
        </w:rPr>
        <w:t xml:space="preserve"> 加载后统计（记录在 </w:t>
      </w:r>
      <w:r>
        <w:rPr>
          <w:rFonts w:ascii="Consolas" w:hAnsi="Consolas" w:eastAsia="宋体"/>
          <w:b w:val="0"/>
          <w:sz w:val="22"/>
        </w:rPr>
        <w:t>outputs/W1/data_quality_report.txt</w:t>
      </w:r>
      <w:r>
        <w:rPr>
          <w:rFonts w:ascii="Times New Roman" w:hAnsi="Times New Roman" w:eastAsia="宋体"/>
          <w:b w:val="0"/>
          <w:sz w:val="22"/>
        </w:rPr>
        <w:t xml:space="preserve"> 的"数据加载"部分）；</w:t>
      </w:r>
      <w:r>
        <w:rPr>
          <w:rFonts w:ascii="Times New Roman" w:hAnsi="Times New Roman" w:eastAsia="宋体"/>
          <w:b/>
          <w:sz w:val="22"/>
        </w:rPr>
        <w:t>清洗后行数</w:t>
      </w:r>
      <w:r>
        <w:rPr>
          <w:rFonts w:ascii="Times New Roman" w:hAnsi="Times New Roman" w:eastAsia="宋体"/>
          <w:b w:val="0"/>
          <w:sz w:val="22"/>
        </w:rPr>
        <w:t xml:space="preserve">由 </w:t>
      </w:r>
      <w:r>
        <w:rPr>
          <w:rFonts w:ascii="Consolas" w:hAnsi="Consolas" w:eastAsia="宋体"/>
          <w:b w:val="0"/>
          <w:sz w:val="22"/>
        </w:rPr>
        <w:t>scripts/W1/data_preprocessing.py</w:t>
      </w:r>
      <w:r>
        <w:rPr>
          <w:rFonts w:ascii="Times New Roman" w:hAnsi="Times New Roman" w:eastAsia="宋体"/>
          <w:b w:val="0"/>
          <w:sz w:val="22"/>
        </w:rPr>
        <w:t xml:space="preserve"> Step 2 执行后输出，train/testA 分别保存为 </w:t>
      </w:r>
      <w:r>
        <w:rPr>
          <w:rFonts w:ascii="Consolas" w:hAnsi="Consolas" w:eastAsia="宋体"/>
          <w:b w:val="0"/>
          <w:sz w:val="22"/>
        </w:rPr>
        <w:t>data/train_clean.csv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2"/>
        </w:rPr>
        <w:t>data/testA_clean.csv</w:t>
      </w:r>
      <w:r>
        <w:rPr>
          <w:rFonts w:ascii="Times New Roman" w:hAnsi="Times New Roman" w:eastAsia="宋体"/>
          <w:b w:val="0"/>
          <w:sz w:val="22"/>
        </w:rPr>
        <w:t>（每类问题删了多少行、为什么删，见第 3 章）。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数据集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原始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清洗后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train.csv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800,000 行 × 47 列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798,498 行 × 47 列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 xml:space="preserve">含目标变量 </w:t>
            </w:r>
            <w:r>
              <w:rPr>
                <w:rFonts w:ascii="Consolas" w:hAnsi="Consolas" w:eastAsia="宋体"/>
                <w:b w:val="0"/>
                <w:sz w:val="21"/>
              </w:rPr>
              <w:t>isDefault</w:t>
            </w:r>
          </w:p>
        </w:tc>
      </w:tr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testA.csv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200,000 行 × 46 列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199,623 行 × 46 列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 xml:space="preserve">无 </w:t>
            </w:r>
            <w:r>
              <w:rPr>
                <w:rFonts w:ascii="Consolas" w:hAnsi="Consolas" w:eastAsia="宋体"/>
                <w:b w:val="0"/>
                <w:sz w:val="21"/>
              </w:rPr>
              <w:t>isDefault</w:t>
            </w:r>
            <w:r>
              <w:rPr>
                <w:rFonts w:ascii="Times New Roman" w:hAnsi="Times New Roman" w:eastAsia="宋体"/>
                <w:b w:val="0"/>
                <w:sz w:val="21"/>
              </w:rPr>
              <w:t>（待预测）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字段分类说明：这是依据天池官方数据字典按业务含义</w:t>
      </w:r>
      <w:r>
        <w:rPr>
          <w:rFonts w:ascii="Times New Roman" w:hAnsi="Times New Roman" w:eastAsia="宋体"/>
          <w:b/>
          <w:sz w:val="22"/>
        </w:rPr>
        <w:t>人工归纳</w:t>
      </w:r>
      <w:r>
        <w:rPr>
          <w:rFonts w:ascii="Times New Roman" w:hAnsi="Times New Roman" w:eastAsia="宋体"/>
          <w:b w:val="0"/>
          <w:sz w:val="22"/>
        </w:rPr>
        <w:t xml:space="preserve">，用于快速建立业务直觉——身份/合同类（id、loanAmnt、term、interestRate、installment）、信用资质类（grade、fico、dti、annualIncome、homeOwnership）、历史行为类（delinquency、openAcc、revolUtil 等）、匿名行为特征（n0–n14，官方数据说明未公布具体含义，只能作为黑箱特征使用）。testA 比 train 少 1 列，即目标变量 </w:t>
      </w:r>
      <w:r>
        <w:rPr>
          <w:rFonts w:ascii="Consolas" w:hAnsi="Consolas" w:eastAsia="宋体"/>
          <w:b w:val="0"/>
          <w:sz w:val="22"/>
        </w:rPr>
        <w:t>isDefault</w:t>
      </w:r>
      <w:r>
        <w:rPr>
          <w:rFonts w:ascii="Times New Roman" w:hAnsi="Times New Roman" w:eastAsia="宋体"/>
          <w:b w:val="0"/>
          <w:sz w:val="22"/>
        </w:rPr>
        <w:t>（待预测）。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8"/>
        </w:rPr>
        <w:t>3. 数据质量检查与清洗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 xml:space="preserve">清洗遵循"先检测、后处理"：先对原始数据做检测（3.1），再依据检测结论执行清洗（3.2）。代码见 </w:t>
      </w:r>
      <w:r>
        <w:rPr>
          <w:rFonts w:ascii="Consolas" w:hAnsi="Consolas" w:eastAsia="宋体"/>
          <w:b w:val="0"/>
          <w:sz w:val="22"/>
        </w:rPr>
        <w:t>scripts/W1/data_preprocessing.py</w:t>
      </w:r>
      <w:r>
        <w:rPr>
          <w:rFonts w:ascii="Times New Roman" w:hAnsi="Times New Roman" w:eastAsia="宋体"/>
          <w:b w:val="0"/>
          <w:sz w:val="22"/>
        </w:rPr>
        <w:t>（Step 1 检测 → Step 2 清洗）。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总体框架：先判断可疑值属于哪类问题，再由问题性质决定处理通道。</w:t>
      </w:r>
      <w:r>
        <w:rPr>
          <w:rFonts w:ascii="Times New Roman" w:hAnsi="Times New Roman" w:eastAsia="宋体"/>
          <w:b w:val="0"/>
          <w:sz w:val="22"/>
        </w:rPr>
        <w:t xml:space="preserve"> 46 个特征列中每一列的问题都可归入以下三类之一，不存在"未被检查"的列：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•  </w:t>
      </w:r>
      <w:r>
        <w:rPr>
          <w:rFonts w:ascii="Times New Roman" w:hAnsi="Times New Roman" w:eastAsia="宋体"/>
          <w:b/>
          <w:sz w:val="22"/>
        </w:rPr>
        <w:t>通道 1 · 逻辑上不可能的值</w:t>
      </w:r>
      <w:r>
        <w:rPr>
          <w:rFonts w:ascii="Times New Roman" w:hAnsi="Times New Roman" w:eastAsia="宋体"/>
          <w:b w:val="0"/>
          <w:sz w:val="22"/>
        </w:rPr>
        <w:t>（收入≤0、利用率&gt;100%、dti 越界、fico 上下限倒挂、id 重复）：这是定义问题而非统计问题，由业务规则直接定性——视为缺失 / 封顶 / 删除（3.1 检测 → 3.2 执行）。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•  </w:t>
      </w:r>
      <w:r>
        <w:rPr>
          <w:rFonts w:ascii="Times New Roman" w:hAnsi="Times New Roman" w:eastAsia="宋体"/>
          <w:b/>
          <w:sz w:val="22"/>
        </w:rPr>
        <w:t>通道 2 · 缺失值</w:t>
      </w:r>
      <w:r>
        <w:rPr>
          <w:rFonts w:ascii="Times New Roman" w:hAnsi="Times New Roman" w:eastAsia="宋体"/>
          <w:b w:val="0"/>
          <w:sz w:val="22"/>
        </w:rPr>
        <w:t>：按缺失量级决定手段——极少缺失删行、成片缺失（n0–n14）填中位数、类别缺失填"未知"，即"先补后删、能补不删"。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•  </w:t>
      </w:r>
      <w:r>
        <w:rPr>
          <w:rFonts w:ascii="Times New Roman" w:hAnsi="Times New Roman" w:eastAsia="宋体"/>
          <w:b/>
          <w:sz w:val="22"/>
        </w:rPr>
        <w:t>通道 3 · 真实但极端的值</w:t>
      </w:r>
      <w:r>
        <w:rPr>
          <w:rFonts w:ascii="Times New Roman" w:hAnsi="Times New Roman" w:eastAsia="宋体"/>
          <w:b w:val="0"/>
          <w:sz w:val="22"/>
        </w:rPr>
        <w:t>（3σ / IQR 点名的离群点）：统计方法只负责"点名"，是否处理由业务核实决定——跨列自洽 + 长尾成串检验通过即判定为真实极端值并保留（3.1）。</w:t>
      </w:r>
    </w:p>
    <w:p>
      <w:pPr>
        <w:ind w:left="425"/>
      </w:pPr>
      <w:r>
        <w:rPr>
          <w:rFonts w:ascii="Times New Roman" w:hAnsi="Times New Roman" w:eastAsia="宋体"/>
          <w:b w:val="0"/>
          <w:sz w:val="22"/>
        </w:rPr>
        <w:t>对账口径说明：同一列可能同时存在两类问题（如 dti 既越界又缺失），因此账目按"问题实例"计，不按"列"计。</w:t>
      </w:r>
    </w:p>
    <w:p>
      <w:pPr>
        <w:spacing w:before="160" w:after="60"/>
      </w:pPr>
      <w:r>
        <w:rPr>
          <w:rFonts w:ascii="Times New Roman" w:hAnsi="Times New Roman" w:eastAsia="宋体"/>
          <w:b/>
          <w:sz w:val="24"/>
        </w:rPr>
        <w:t>3.1 异常值检测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 xml:space="preserve">动手处理前，先用三种方法交叉检查哪些值可疑，报告见 </w:t>
      </w:r>
      <w:r>
        <w:rPr>
          <w:rFonts w:ascii="Consolas" w:hAnsi="Consolas" w:eastAsia="宋体"/>
          <w:b w:val="0"/>
          <w:sz w:val="22"/>
        </w:rPr>
        <w:t>outputs/W1/outlier_report.txt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方法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抓什么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结果（train 原始数据）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判定</w:t>
            </w:r>
          </w:p>
        </w:tc>
      </w:tr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业务规则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逻辑上不可能的值（收入≤0、dti 越界、利用率&gt;100）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229 / 325 / 2,719 个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脏数据，交 3.2 处理（填 / 删 / 封顶）</w:t>
            </w:r>
          </w:p>
        </w:tc>
      </w:tr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3σ 原则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正态假设下均值±3σ 之外的点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各列 0%~2.72%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仅参考（数据多为偏分布）</w:t>
            </w:r>
          </w:p>
        </w:tc>
      </w:tr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箱线图 / IQR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Q1-1.5IQR 与 Q3+1.5IQR 之外的点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各列 0.01%~4.88%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保留（真实极端值，理由见下）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宋体"/>
          <w:b/>
          <w:sz w:val="22"/>
        </w:rPr>
        <w:t>三层检验确认"真实极端值"</w:t>
      </w:r>
      <w:r>
        <w:rPr>
          <w:rFonts w:ascii="Times New Roman" w:hAnsi="Times New Roman" w:eastAsia="宋体"/>
          <w:b w:val="0"/>
          <w:sz w:val="22"/>
        </w:rPr>
        <w:t>：① 业务规则先排除不可能的值；② 极端样本画像跨列自洽（收入最高 30 人的 FICO/dti/贷款金额均正常，收入与贷款金额相关系数 0.11）；③ 极端值呈连续长尾分布（</w:t>
      </w:r>
      <w:r>
        <w:rPr>
          <w:rFonts w:ascii="Consolas" w:hAnsi="Consolas" w:eastAsia="宋体"/>
          <w:b w:val="0"/>
          <w:sz w:val="22"/>
        </w:rPr>
        <w:t>outputs/W1/outlier_tail.png</w:t>
      </w:r>
      <w:r>
        <w:rPr>
          <w:rFonts w:ascii="Times New Roman" w:hAnsi="Times New Roman" w:eastAsia="宋体"/>
          <w:b w:val="0"/>
          <w:sz w:val="22"/>
        </w:rPr>
        <w:t>），非孤立跳变点。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方法覆盖面为什么不同</w:t>
      </w:r>
      <w:r>
        <w:rPr>
          <w:rFonts w:ascii="Times New Roman" w:hAnsi="Times New Roman" w:eastAsia="宋体"/>
          <w:b w:val="0"/>
          <w:sz w:val="22"/>
        </w:rPr>
        <w:t>：三种方法不是对同一批列重复检查，而是按各自适用性分工——业务规则检查所有"可能违反常识"的列；3σ 对 13 个数值列做全景点名（有偏分布下仅供参考）；IQR/箱线图只对 6 个"近似连续"的列使用，因为计数列（openAcc、pubRec、delinquency_2years 等）大量取 0 或小整数，IQR 接近 0 时任何非 0 值都会被标成"离群"，无区分度；fico 为外部给定的评分档位，属于"信用好不是脏数据"，无需按分布检查。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为什么画像/长尾只深查年收入、installment</w:t>
      </w:r>
      <w:r>
        <w:rPr>
          <w:rFonts w:ascii="Times New Roman" w:hAnsi="Times New Roman" w:eastAsia="宋体"/>
          <w:b w:val="0"/>
          <w:sz w:val="22"/>
        </w:rPr>
        <w:t>：人工核实成本高，只用在"值可能是假的"的地方——判断标准不是极端方向合不合理（收入高、利率高、欠款多都符合业务解释），而是这个值有没有可能不是真的。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年收入是唯一</w:t>
      </w:r>
      <w:r>
        <w:rPr>
          <w:rFonts w:ascii="Times New Roman" w:hAnsi="Times New Roman" w:eastAsia="宋体"/>
          <w:b/>
          <w:sz w:val="22"/>
        </w:rPr>
        <w:t>借款人自报、无上界、平台不核验</w:t>
      </w:r>
      <w:r>
        <w:rPr>
          <w:rFonts w:ascii="Times New Roman" w:hAnsi="Times New Roman" w:eastAsia="宋体"/>
          <w:b w:val="0"/>
          <w:sz w:val="22"/>
        </w:rPr>
        <w:t>的关键列（中位数 6.5 万 vs 最高 1,099 万），极端值存在"真实高净值客户 vs 虚报/录错"两种可能，且直接影响 W2 的 log 变换，故必须画像核实——收入最高 30 人的 FICO/dti/贷款金额均正常、长尾连续成串，判定为真实高收入人群。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 xml:space="preserve">installment 则用两种方式核实：① 长尾检查——极端月供（&gt;1,079 元）共 24,992 个且逐级连续升高，非孤立怪值；② </w:t>
      </w:r>
      <w:r>
        <w:rPr>
          <w:rFonts w:ascii="Times New Roman" w:hAnsi="Times New Roman" w:eastAsia="宋体"/>
          <w:b/>
          <w:sz w:val="22"/>
        </w:rPr>
        <w:t>跨列公式验算</w:t>
      </w:r>
      <w:r>
        <w:rPr>
          <w:rFonts w:ascii="Times New Roman" w:hAnsi="Times New Roman" w:eastAsia="宋体"/>
          <w:b w:val="0"/>
          <w:sz w:val="22"/>
        </w:rPr>
        <w:t>——installment 与 loanAmnt、interestRate、term 存在确定的等额本息关系，可用三者反算"理论月供"逐行比对：98.64% 的行误差 &lt;0.01%（完全一致），仅 1,400 行（0.175%）误差 &gt;1% 且全部</w:t>
      </w:r>
      <w:r>
        <w:rPr>
          <w:rFonts w:ascii="Times New Roman" w:hAnsi="Times New Roman" w:eastAsia="宋体"/>
          <w:b/>
          <w:sz w:val="22"/>
        </w:rPr>
        <w:t>系统性偏低</w:t>
      </w:r>
      <w:r>
        <w:rPr>
          <w:rFonts w:ascii="Times New Roman" w:hAnsi="Times New Roman" w:eastAsia="宋体"/>
          <w:b w:val="0"/>
          <w:sz w:val="22"/>
        </w:rPr>
        <w:t>（−5%~−40%）。方向一致的偏低不像随机录入错误，更像少数利率调整 / 特殊产品所致，不构成批量脏数据，故保留。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其余列无需深核：利率（≤30.99%）、贷款额（≤4 万）受平台规则约束、取值有界；欠款、逾期、账户数来自征信与平台记录，行为极端但不存在自报造假的空间——点名确认数量即可。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检测结论</w:t>
      </w:r>
      <w:r>
        <w:rPr>
          <w:rFonts w:ascii="Times New Roman" w:hAnsi="Times New Roman" w:eastAsia="宋体"/>
          <w:b w:val="0"/>
          <w:sz w:val="22"/>
        </w:rPr>
        <w:t>：3σ/IQR 标记的极端值（高收入、高余额等）为真实业务极端客户，保留不删；后续预计在特征工程阶段通过 log 变换 / 缩尾处理做对照实验，进一步验证处理方式。</w:t>
      </w:r>
    </w:p>
    <w:p>
      <w:pPr>
        <w:spacing w:before="160" w:after="60"/>
      </w:pPr>
      <w:r>
        <w:rPr>
          <w:rFonts w:ascii="Times New Roman" w:hAnsi="Times New Roman" w:eastAsia="宋体"/>
          <w:b/>
          <w:sz w:val="24"/>
        </w:rPr>
        <w:t>3.2 清洗执行（后处理，按检测结论）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检测完成后，按"先补后删、能补不删"原则执行清洗：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问题类型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发现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处理方式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影响</w:t>
            </w:r>
          </w:p>
        </w:tc>
      </w:tr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年收入为 0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229 个（train，均为联合申请主借人）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视为缺失 → 因 dti 无法计算，随 dti 缺失删行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见"联动说明"</w:t>
            </w:r>
          </w:p>
        </w:tc>
      </w:tr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循环利用率 &gt;100%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2,719 个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封顶到 100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保留样本信息</w:t>
            </w:r>
          </w:p>
        </w:tc>
      </w:tr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dti 越界（&lt;0 或 &gt;100）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325 行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删除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属脏数据</w:t>
            </w:r>
          </w:p>
        </w:tc>
      </w:tr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缺失极少列（title、dti 等 6 列）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1,177 行（含 dti 缺失 239 行）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删除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占比 &lt;0.15%</w:t>
            </w:r>
          </w:p>
        </w:tc>
      </w:tr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匿名特征 n0–n14 缺失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约 62 万格（平均每列约 5.2%）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中位数填充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防止大量删行</w:t>
            </w:r>
          </w:p>
        </w:tc>
      </w:tr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就业年限缺失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46,375 个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填"未知"类别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保留为有效类别</w:t>
            </w:r>
          </w:p>
        </w:tc>
      </w:tr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id 重复 / fico 上下限倒挂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数据本身一致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宋体"/>
          <w:b/>
          <w:sz w:val="22"/>
        </w:rPr>
        <w:t>联动说明（收入=0 与 dti 缺失是同一批人）</w:t>
      </w:r>
      <w:r>
        <w:rPr>
          <w:rFonts w:ascii="Times New Roman" w:hAnsi="Times New Roman" w:eastAsia="宋体"/>
          <w:b w:val="0"/>
          <w:sz w:val="22"/>
        </w:rPr>
        <w:t>：dti = 债务收入比 = 月债务 ÷ 月收入，衡量借款人的还款压力，dti 越高越容易断供。收入为 0 时除数为 0，dti 无法计算、记为缺失——实测 229 名收入=0 者 dti 全部缺失（train 的 dti 缺失共 239 个，其中 229 个即这批人）。进一步画像显示，这批人</w:t>
      </w:r>
      <w:r>
        <w:rPr>
          <w:rFonts w:ascii="Times New Roman" w:hAnsi="Times New Roman" w:eastAsia="宋体"/>
          <w:b/>
          <w:sz w:val="22"/>
        </w:rPr>
        <w:t>全部为联合申请（applicationType=1）的主借人</w:t>
      </w:r>
      <w:r>
        <w:rPr>
          <w:rFonts w:ascii="Times New Roman" w:hAnsi="Times New Roman" w:eastAsia="宋体"/>
          <w:b w:val="0"/>
          <w:sz w:val="22"/>
        </w:rPr>
        <w:t>，即"个人无收入、靠共同借款人还款"的真实业务群体，并非录入错误。由于 dti 属"缺失即删行"的列，他们实际是经 dti 缺失被整行删除（删行 1,177 人中的 239 人），而不是被填充。影响评估：229 人仅占 0.03%，且其违约率（20.1%）与整体持平，对建模影响可忽略；代价是这批"主借人无收入"的真实样本未保留——若 W2 希望利用联合申请（applicationType）信息，可将 dti 缺失单独标记而非删行，列为特征工程的改进选项。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结论</w:t>
      </w:r>
      <w:r>
        <w:rPr>
          <w:rFonts w:ascii="Times New Roman" w:hAnsi="Times New Roman" w:eastAsia="宋体"/>
          <w:b w:val="0"/>
          <w:sz w:val="22"/>
        </w:rPr>
        <w:t>：整体质量较好，主要工作是缺失填充与少数脏值处理；train 共删 1,502 行（0.19%），不影响代表性。</w:t>
      </w:r>
    </w:p>
    <w:p>
      <w:pPr>
        <w:spacing w:before="160" w:after="60"/>
      </w:pPr>
      <w:r>
        <w:rPr>
          <w:rFonts w:ascii="Times New Roman" w:hAnsi="Times New Roman" w:eastAsia="宋体"/>
          <w:b/>
          <w:sz w:val="24"/>
        </w:rPr>
        <w:t>3.3 覆盖与收尾：每类问题都有归宿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覆盖账</w:t>
      </w:r>
      <w:r>
        <w:rPr>
          <w:rFonts w:ascii="Times New Roman" w:hAnsi="Times New Roman" w:eastAsia="宋体"/>
          <w:b w:val="0"/>
          <w:sz w:val="22"/>
        </w:rPr>
        <w:t>（train，47 列 = 1 个目标列 + 46 个特征列）：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•  通道 1（不可能值）：处理动作落在 3 列（annualIncome=0 视为缺失，该批样本随后经 dti 缺失删行，见 3.2 联动说明；revolUtil 封顶；dti 越界删行），另有 2 项一致性检查（id 重复、fico 上下限倒挂）结果为 0；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•  通道 2（缺失）：有缺失的 22 列全部覆盖——6 列（title 等）极少缺失删行、15 列匿名特征 n0–n14 填中位数、1 列 employmentLength 填"未知"，22 = 6 + 15 + 1，账目闭合；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•  通道 3（真实极端值）：3σ 点名 13 列、IQR 点名 6 列，深核年收入 / installment 后判定真实极端值，</w:t>
      </w:r>
      <w:r>
        <w:rPr>
          <w:rFonts w:ascii="Times New Roman" w:hAnsi="Times New Roman" w:eastAsia="宋体"/>
          <w:b/>
          <w:sz w:val="22"/>
        </w:rPr>
        <w:t>0 行因统计离群被删</w:t>
      </w:r>
      <w:r>
        <w:rPr>
          <w:rFonts w:ascii="Times New Roman" w:hAnsi="Times New Roman" w:eastAsia="宋体"/>
          <w:b w:val="0"/>
          <w:sz w:val="22"/>
        </w:rPr>
        <w:t>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•  其余无缺失、无越界、无长尾的列（grade、term 等）本身无问题，无需处理。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收尾校验</w:t>
      </w:r>
      <w:r>
        <w:rPr>
          <w:rFonts w:ascii="Times New Roman" w:hAnsi="Times New Roman" w:eastAsia="宋体"/>
          <w:b w:val="0"/>
          <w:sz w:val="22"/>
        </w:rPr>
        <w:t>：清洗后 C1 id 重复 = 0、C2 fico 上下限倒挂 = 0、C3 剩余缺失格 = 0——整张表不存在"还没处理"的格子。删除仅 1,502 行（0.19%），属轻处理，样本代表性不受影响。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8"/>
        </w:rPr>
        <w:t>4. 目标变量：类别不平衡（重点）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 xml:space="preserve">（以下基于清洗后的 </w:t>
      </w:r>
      <w:r>
        <w:rPr>
          <w:rFonts w:ascii="Consolas" w:hAnsi="Consolas" w:eastAsia="宋体"/>
          <w:b w:val="0"/>
          <w:sz w:val="22"/>
        </w:rPr>
        <w:t>data/train_clean.csv</w:t>
      </w:r>
      <w:r>
        <w:rPr>
          <w:rFonts w:ascii="Times New Roman" w:hAnsi="Times New Roman" w:eastAsia="宋体"/>
          <w:b w:val="0"/>
          <w:sz w:val="22"/>
        </w:rPr>
        <w:t xml:space="preserve">，与第 2 章"清洗后"口径一致；原始口径见 </w:t>
      </w:r>
      <w:r>
        <w:rPr>
          <w:rFonts w:ascii="Consolas" w:hAnsi="Consolas" w:eastAsia="宋体"/>
          <w:b w:val="0"/>
          <w:sz w:val="22"/>
        </w:rPr>
        <w:t>data_quality_report.txt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•  </w:t>
      </w:r>
      <w:r>
        <w:rPr>
          <w:rFonts w:ascii="Consolas" w:hAnsi="Consolas" w:eastAsia="宋体"/>
          <w:b w:val="0"/>
          <w:sz w:val="22"/>
        </w:rPr>
        <w:t>isDefault=0</w:t>
      </w:r>
      <w:r>
        <w:rPr>
          <w:rFonts w:ascii="Times New Roman" w:hAnsi="Times New Roman" w:eastAsia="宋体"/>
          <w:b w:val="0"/>
          <w:sz w:val="22"/>
        </w:rPr>
        <w:t>：639,211 人（80.0%）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•  </w:t>
      </w:r>
      <w:r>
        <w:rPr>
          <w:rFonts w:ascii="Consolas" w:hAnsi="Consolas" w:eastAsia="宋体"/>
          <w:b w:val="0"/>
          <w:sz w:val="22"/>
        </w:rPr>
        <w:t>isDefault=1</w:t>
      </w:r>
      <w:r>
        <w:rPr>
          <w:rFonts w:ascii="Times New Roman" w:hAnsi="Times New Roman" w:eastAsia="宋体"/>
          <w:b w:val="0"/>
          <w:sz w:val="22"/>
        </w:rPr>
        <w:t>：159,287 人（20.0%）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业务与建模含义</w:t>
      </w:r>
      <w:r>
        <w:rPr>
          <w:rFonts w:ascii="Times New Roman" w:hAnsi="Times New Roman" w:eastAsia="宋体"/>
          <w:b w:val="0"/>
          <w:sz w:val="22"/>
        </w:rPr>
        <w:t xml:space="preserve">：这是典型的"类别不平衡"数据——正常客户远多于违约客户。直接套用准确率会失真（全猜"正常"也有 80% 准确率，但一个违约客户都抓不到）。因此 </w:t>
      </w:r>
      <w:r>
        <w:rPr>
          <w:rFonts w:ascii="Times New Roman" w:hAnsi="Times New Roman" w:eastAsia="宋体"/>
          <w:b/>
          <w:sz w:val="22"/>
        </w:rPr>
        <w:t>W2 起评估必须看精确率/召回率/F1/AUC，而不是只看准确率</w:t>
      </w:r>
      <w:r>
        <w:rPr>
          <w:rFonts w:ascii="Times New Roman" w:hAnsi="Times New Roman" w:eastAsia="宋体"/>
          <w:b w:val="0"/>
          <w:sz w:val="22"/>
        </w:rPr>
        <w:t>，这也是下一步学习评估指标的原因。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8"/>
        </w:rPr>
        <w:t>5. EDA 关键发现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 xml:space="preserve">以下 EDA 均基于清洗后的 </w:t>
      </w:r>
      <w:r>
        <w:rPr>
          <w:rFonts w:ascii="Consolas" w:hAnsi="Consolas" w:eastAsia="宋体"/>
          <w:b w:val="0"/>
          <w:sz w:val="22"/>
        </w:rPr>
        <w:t>data/train_clean.csv</w:t>
      </w:r>
      <w:r>
        <w:rPr>
          <w:rFonts w:ascii="Times New Roman" w:hAnsi="Times New Roman" w:eastAsia="宋体"/>
          <w:b w:val="0"/>
          <w:sz w:val="22"/>
        </w:rPr>
        <w:t xml:space="preserve">（样本 798,498，与第 2 章"清洗后"口径一致）；图见 </w:t>
      </w:r>
      <w:r>
        <w:rPr>
          <w:rFonts w:ascii="Consolas" w:hAnsi="Consolas" w:eastAsia="宋体"/>
          <w:b w:val="0"/>
          <w:sz w:val="22"/>
        </w:rPr>
        <w:t>outputs/W1/eda_*.png</w:t>
      </w:r>
      <w:r>
        <w:rPr>
          <w:rFonts w:ascii="Times New Roman" w:hAnsi="Times New Roman" w:eastAsia="宋体"/>
          <w:b w:val="0"/>
          <w:sz w:val="22"/>
        </w:rPr>
        <w:t>（5 张 EDA 图 + 1 张收入分布补充图；异常值图见 3.1 节）。</w:t>
      </w:r>
    </w:p>
    <w:p>
      <w:pPr>
        <w:spacing w:before="160" w:after="60"/>
      </w:pPr>
      <w:r>
        <w:rPr>
          <w:rFonts w:ascii="Times New Roman" w:hAnsi="Times New Roman" w:eastAsia="宋体"/>
          <w:b/>
          <w:sz w:val="24"/>
        </w:rPr>
        <w:t>5.1 信用等级是违约率最强的分层变量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grade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样本数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违约率</w:t>
            </w:r>
          </w:p>
        </w:tc>
      </w:tr>
      <w:tr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139,462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6.0%</w:t>
            </w:r>
          </w:p>
        </w:tc>
      </w:tr>
      <w:tr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233,330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13.3%</w:t>
            </w:r>
          </w:p>
        </w:tc>
      </w:tr>
      <w:tr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C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226,664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22.5%</w:t>
            </w:r>
          </w:p>
        </w:tc>
      </w:tr>
      <w:tr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119,162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30.4%</w:t>
            </w:r>
          </w:p>
        </w:tc>
      </w:tr>
      <w:tr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55,527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38.4%</w:t>
            </w:r>
          </w:p>
        </w:tc>
      </w:tr>
      <w:tr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F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19,004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45.3%</w:t>
            </w:r>
          </w:p>
        </w:tc>
      </w:tr>
      <w:tr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G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5,349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49.7%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grade A→G 违约率从 6% 单调升到近 50%——这是报告里能直接讲给业务方听的结论：等级本身已浓缩了大量风险信息。</w:t>
      </w:r>
    </w:p>
    <w:p>
      <w:pPr>
        <w:spacing w:before="160" w:after="60"/>
      </w:pPr>
      <w:r>
        <w:rPr>
          <w:rFonts w:ascii="Times New Roman" w:hAnsi="Times New Roman" w:eastAsia="宋体"/>
          <w:b/>
          <w:sz w:val="24"/>
        </w:rPr>
        <w:t>5.2 违约组 vs 正常组：均值画像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特征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正常组均值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违约组均值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解读</w:t>
            </w:r>
          </w:p>
        </w:tc>
      </w:tr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利率 interestRate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12.6%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15.7%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违约客户通常拿到更高利率（风险溢价）</w:t>
            </w:r>
          </w:p>
        </w:tc>
      </w:tr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年收入 annualIncome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77,641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70,277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违约组收入更低</w:t>
            </w:r>
          </w:p>
        </w:tc>
      </w:tr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债务收入比 dti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17.7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20.1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违约组负债压力更大</w:t>
            </w:r>
          </w:p>
        </w:tc>
      </w:tr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循环利用率 revolUtil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51.1%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54.7%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违约组更"刷爆"额度</w:t>
            </w:r>
          </w:p>
        </w:tc>
      </w:tr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FICO 下限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698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688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违约组信用分更低</w:t>
            </w:r>
          </w:p>
        </w:tc>
      </w:tr>
      <w:tr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贷款金额 loanAmnt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14,134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15,554</w:t>
            </w:r>
          </w:p>
        </w:tc>
        <w:tc>
          <w:tcPr>
            <w:tcW w:type="dxa" w:w="207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违约组借款更多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 w:eastAsia="宋体"/>
          <w:b/>
          <w:sz w:val="24"/>
        </w:rPr>
        <w:t>5.3 与违约的相关性（绝对值排序）</w:t>
      </w:r>
    </w:p>
    <w:p>
      <w:pPr>
        <w:spacing w:after="80"/>
      </w:pPr>
      <w:r>
        <w:rPr>
          <w:rFonts w:ascii="Consolas" w:hAnsi="Consolas" w:eastAsia="宋体"/>
          <w:b w:val="0"/>
          <w:sz w:val="22"/>
        </w:rPr>
        <w:t>grade</w:t>
      </w:r>
      <w:r>
        <w:rPr>
          <w:rFonts w:ascii="Times New Roman" w:hAnsi="Times New Roman" w:eastAsia="宋体"/>
          <w:b w:val="0"/>
          <w:sz w:val="22"/>
        </w:rPr>
        <w:t xml:space="preserve"> 为有序类别变量，其与违约的关系以 5.1 分组违约率呈现，不纳入数值相关矩阵；以下为数值特征与违约的相关排序。</w:t>
      </w:r>
    </w:p>
    <w:p>
      <w:pPr>
        <w:spacing w:after="80"/>
      </w:pPr>
      <w:r>
        <w:rPr>
          <w:rFonts w:ascii="Consolas" w:hAnsi="Consolas" w:eastAsia="宋体"/>
          <w:b w:val="0"/>
          <w:sz w:val="22"/>
        </w:rPr>
        <w:t>interestRate</w:t>
      </w:r>
      <w:r>
        <w:rPr>
          <w:rFonts w:ascii="Times New Roman" w:hAnsi="Times New Roman" w:eastAsia="宋体"/>
          <w:b w:val="0"/>
          <w:sz w:val="22"/>
        </w:rPr>
        <w:t xml:space="preserve">（+0.26）最强，其次 </w:t>
      </w:r>
      <w:r>
        <w:rPr>
          <w:rFonts w:ascii="Consolas" w:hAnsi="Consolas" w:eastAsia="宋体"/>
          <w:b w:val="0"/>
          <w:sz w:val="22"/>
        </w:rPr>
        <w:t>ficoRangeLow</w:t>
      </w:r>
      <w:r>
        <w:rPr>
          <w:rFonts w:ascii="Times New Roman" w:hAnsi="Times New Roman" w:eastAsia="宋体"/>
          <w:b w:val="0"/>
          <w:sz w:val="22"/>
        </w:rPr>
        <w:t>（−0.13）、</w:t>
      </w:r>
      <w:r>
        <w:rPr>
          <w:rFonts w:ascii="Consolas" w:hAnsi="Consolas" w:eastAsia="宋体"/>
          <w:b w:val="0"/>
          <w:sz w:val="22"/>
        </w:rPr>
        <w:t>dti</w:t>
      </w:r>
      <w:r>
        <w:rPr>
          <w:rFonts w:ascii="Times New Roman" w:hAnsi="Times New Roman" w:eastAsia="宋体"/>
          <w:b w:val="0"/>
          <w:sz w:val="22"/>
        </w:rPr>
        <w:t>（+0.11）、</w:t>
      </w:r>
      <w:r>
        <w:rPr>
          <w:rFonts w:ascii="Consolas" w:hAnsi="Consolas" w:eastAsia="宋体"/>
          <w:b w:val="0"/>
          <w:sz w:val="22"/>
        </w:rPr>
        <w:t>loanAmnt</w:t>
      </w:r>
      <w:r>
        <w:rPr>
          <w:rFonts w:ascii="Times New Roman" w:hAnsi="Times New Roman" w:eastAsia="宋体"/>
          <w:b w:val="0"/>
          <w:sz w:val="22"/>
        </w:rPr>
        <w:t>（+0.07）、</w:t>
      </w:r>
      <w:r>
        <w:rPr>
          <w:rFonts w:ascii="Consolas" w:hAnsi="Consolas" w:eastAsia="宋体"/>
          <w:b w:val="0"/>
          <w:sz w:val="22"/>
        </w:rPr>
        <w:t>revolUtil</w:t>
      </w:r>
      <w:r>
        <w:rPr>
          <w:rFonts w:ascii="Times New Roman" w:hAnsi="Times New Roman" w:eastAsia="宋体"/>
          <w:b w:val="0"/>
          <w:sz w:val="22"/>
        </w:rPr>
        <w:t>（+0.06）。方向均符合业务直觉：利率高、信用分低、负债重 → 更容易违约。绝对值普遍不高，说明</w:t>
      </w:r>
      <w:r>
        <w:rPr>
          <w:rFonts w:ascii="Times New Roman" w:hAnsi="Times New Roman" w:eastAsia="宋体"/>
          <w:b/>
          <w:sz w:val="22"/>
        </w:rPr>
        <w:t>关系偏非线性，光靠线性相关解释不了全部</w:t>
      </w:r>
      <w:r>
        <w:rPr>
          <w:rFonts w:ascii="Times New Roman" w:hAnsi="Times New Roman" w:eastAsia="宋体"/>
          <w:b w:val="0"/>
          <w:sz w:val="22"/>
        </w:rPr>
        <w:t>——这是后续用树模型（随机森林/XGBoost）的动机之一。</w:t>
      </w:r>
    </w:p>
    <w:p>
      <w:pPr>
        <w:spacing w:before="160" w:after="60"/>
      </w:pPr>
      <w:r>
        <w:rPr>
          <w:rFonts w:ascii="Times New Roman" w:hAnsi="Times New Roman" w:eastAsia="宋体"/>
          <w:b/>
          <w:sz w:val="24"/>
        </w:rPr>
        <w:t>5.4 收入分布严重右偏 → 需 log 变换</w:t>
      </w:r>
    </w:p>
    <w:p>
      <w:pPr>
        <w:spacing w:after="80"/>
      </w:pPr>
      <w:r>
        <w:rPr>
          <w:rFonts w:ascii="Consolas" w:hAnsi="Consolas" w:eastAsia="宋体"/>
          <w:b w:val="0"/>
          <w:sz w:val="22"/>
        </w:rPr>
        <w:t>annualIncome</w:t>
      </w:r>
      <w:r>
        <w:rPr>
          <w:rFonts w:ascii="Times New Roman" w:hAnsi="Times New Roman" w:eastAsia="宋体"/>
          <w:b w:val="0"/>
          <w:sz w:val="22"/>
        </w:rPr>
        <w:t xml:space="preserve"> 严重右偏：均值 7.6 万 &gt; 中位数 6.5 万，90% 人群收入 ≤12.5 万，但最大达 1,099 万。原始刻度直方图（</w:t>
      </w:r>
      <w:r>
        <w:rPr>
          <w:rFonts w:ascii="Consolas" w:hAnsi="Consolas" w:eastAsia="宋体"/>
          <w:b w:val="0"/>
          <w:sz w:val="22"/>
        </w:rPr>
        <w:t>outputs/W1/eda_numeric_distributions.png</w:t>
      </w:r>
      <w:r>
        <w:rPr>
          <w:rFonts w:ascii="Times New Roman" w:hAnsi="Times New Roman" w:eastAsia="宋体"/>
          <w:b w:val="0"/>
          <w:sz w:val="22"/>
        </w:rPr>
        <w:t>）中约 99% 数据挤在第一格、右尾不可见；对收入取 log10 后分布呈近似钟形（</w:t>
      </w:r>
      <w:r>
        <w:rPr>
          <w:rFonts w:ascii="Consolas" w:hAnsi="Consolas" w:eastAsia="宋体"/>
          <w:b w:val="0"/>
          <w:sz w:val="22"/>
        </w:rPr>
        <w:t>outputs/W1/eda_income_log_compare.png</w:t>
      </w:r>
      <w:r>
        <w:rPr>
          <w:rFonts w:ascii="Times New Roman" w:hAnsi="Times New Roman" w:eastAsia="宋体"/>
          <w:b w:val="0"/>
          <w:sz w:val="22"/>
        </w:rPr>
        <w:t xml:space="preserve">），符合对数正态特征。因此 W2 特征工程预计将对 </w:t>
      </w:r>
      <w:r>
        <w:rPr>
          <w:rFonts w:ascii="Consolas" w:hAnsi="Consolas" w:eastAsia="宋体"/>
          <w:b w:val="0"/>
          <w:sz w:val="22"/>
        </w:rPr>
        <w:t>annualIncome</w:t>
      </w:r>
      <w:r>
        <w:rPr>
          <w:rFonts w:ascii="Times New Roman" w:hAnsi="Times New Roman" w:eastAsia="宋体"/>
          <w:b w:val="0"/>
          <w:sz w:val="22"/>
        </w:rPr>
        <w:t xml:space="preserve"> 做 log 变换（或缩尾对照实验），避免超高收入者对模型产生过度影响。</w:t>
      </w:r>
    </w:p>
    <w:p>
      <w:pPr>
        <w:spacing w:before="160" w:after="60"/>
      </w:pPr>
      <w:r>
        <w:rPr>
          <w:rFonts w:ascii="Times New Roman" w:hAnsi="Times New Roman" w:eastAsia="宋体"/>
          <w:b/>
          <w:sz w:val="24"/>
        </w:rPr>
        <w:t>5.5 其他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•  期限 </w:t>
      </w:r>
      <w:r>
        <w:rPr>
          <w:rFonts w:ascii="Consolas" w:hAnsi="Consolas" w:eastAsia="宋体"/>
          <w:b w:val="0"/>
          <w:sz w:val="22"/>
        </w:rPr>
        <w:t>term</w:t>
      </w:r>
      <w:r>
        <w:rPr>
          <w:rFonts w:ascii="Times New Roman" w:hAnsi="Times New Roman" w:eastAsia="宋体"/>
          <w:b w:val="0"/>
          <w:sz w:val="22"/>
        </w:rPr>
        <w:t>：3 年 60.6 万 vs 5 年 19.3 万，二值变量；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•  </w:t>
      </w:r>
      <w:r>
        <w:rPr>
          <w:rFonts w:ascii="Consolas" w:hAnsi="Consolas" w:eastAsia="宋体"/>
          <w:b w:val="0"/>
          <w:sz w:val="22"/>
        </w:rPr>
        <w:t>homeOwnership</w:t>
      </w:r>
      <w:r>
        <w:rPr>
          <w:rFonts w:ascii="Times New Roman" w:hAnsi="Times New Roman" w:eastAsia="宋体"/>
          <w:b w:val="0"/>
          <w:sz w:val="22"/>
        </w:rPr>
        <w:t xml:space="preserve"> 等类别变量以 0/1 为主，可直接进入模型或做分组特征；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•  testA 与 train 结构一致（仅少目标列），说明训练集分布可外推。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8"/>
        </w:rPr>
        <w:t>6. 小结与对后续建模的影响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类别不平衡</w:t>
      </w:r>
      <w:r>
        <w:rPr>
          <w:rFonts w:ascii="Times New Roman" w:hAnsi="Times New Roman" w:eastAsia="宋体"/>
          <w:b w:val="0"/>
          <w:sz w:val="22"/>
        </w:rPr>
        <w:t>是首要建模约束 → 评估指标选 F1/AUC，并考虑 class_weight。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grade 是强特征</w:t>
      </w:r>
      <w:r>
        <w:rPr>
          <w:rFonts w:ascii="Times New Roman" w:hAnsi="Times New Roman" w:eastAsia="宋体"/>
          <w:b w:val="0"/>
          <w:sz w:val="22"/>
        </w:rPr>
        <w:t>，但 35 个子级 + 匿名特征可能含更多信息 → 特征工程时保留层级结构。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关系偏非线性</w:t>
      </w:r>
      <w:r>
        <w:rPr>
          <w:rFonts w:ascii="Times New Roman" w:hAnsi="Times New Roman" w:eastAsia="宋体"/>
          <w:b w:val="0"/>
          <w:sz w:val="22"/>
        </w:rPr>
        <w:t xml:space="preserve"> → 基线三模型（逻辑回归/随机森林/XGBoost）对比中，逻辑回归作为线性基准，树模型预期表现更好。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4. 数据质量可控，清洗后可直接进入 W2 特征工程。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8"/>
        </w:rPr>
        <w:t>7. 附录：本阶段产物清单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•  代码与作用：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•  </w:t>
      </w:r>
      <w:r>
        <w:rPr>
          <w:rFonts w:ascii="Consolas" w:hAnsi="Consolas" w:eastAsia="宋体"/>
          <w:b w:val="0"/>
          <w:sz w:val="22"/>
        </w:rPr>
        <w:t>scripts/W1/01_data_exploration.py</w:t>
      </w:r>
      <w:r>
        <w:rPr>
          <w:rFonts w:ascii="Times New Roman" w:hAnsi="Times New Roman" w:eastAsia="宋体"/>
          <w:b w:val="0"/>
          <w:sz w:val="22"/>
        </w:rPr>
        <w:t xml:space="preserve">：加载原始数据并做质量初检（行数列数、列类型、缺失值、id 重复、目标分布、关键列 describe、类别列取值），输出 </w:t>
      </w:r>
      <w:r>
        <w:rPr>
          <w:rFonts w:ascii="Consolas" w:hAnsi="Consolas" w:eastAsia="宋体"/>
          <w:b w:val="0"/>
          <w:sz w:val="22"/>
        </w:rPr>
        <w:t>outputs/W1/data_quality_report.txt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•  </w:t>
      </w:r>
      <w:r>
        <w:rPr>
          <w:rFonts w:ascii="Consolas" w:hAnsi="Consolas" w:eastAsia="宋体"/>
          <w:b w:val="0"/>
          <w:sz w:val="22"/>
        </w:rPr>
        <w:t>scripts/W1/data_preprocessing.py</w:t>
      </w:r>
      <w:r>
        <w:rPr>
          <w:rFonts w:ascii="Times New Roman" w:hAnsi="Times New Roman" w:eastAsia="宋体"/>
          <w:b w:val="0"/>
          <w:sz w:val="22"/>
        </w:rPr>
        <w:t xml:space="preserve">：Step 1 异常值检测（业务规则 / 3σ / IQR 交叉检查 + 极端样本画像与长尾检查 + installment 等额本息跨列验算，输出 </w:t>
      </w:r>
      <w:r>
        <w:rPr>
          <w:rFonts w:ascii="Consolas" w:hAnsi="Consolas" w:eastAsia="宋体"/>
          <w:b w:val="0"/>
          <w:sz w:val="22"/>
        </w:rPr>
        <w:t>outputs/W1/outlier_report.txt</w:t>
      </w:r>
      <w:r>
        <w:rPr>
          <w:rFonts w:ascii="Times New Roman" w:hAnsi="Times New Roman" w:eastAsia="宋体"/>
          <w:b w:val="0"/>
          <w:sz w:val="22"/>
        </w:rPr>
        <w:t xml:space="preserve"> 与 2 张异常值图）→ Step 2 依据检测结论清洗（缺失填充、脏值删除、封顶），保存 </w:t>
      </w:r>
      <w:r>
        <w:rPr>
          <w:rFonts w:ascii="Consolas" w:hAnsi="Consolas" w:eastAsia="宋体"/>
          <w:b w:val="0"/>
          <w:sz w:val="22"/>
        </w:rPr>
        <w:t>data/train_clean.csv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2"/>
        </w:rPr>
        <w:t>data/testA_clean.csv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•  </w:t>
      </w:r>
      <w:r>
        <w:rPr>
          <w:rFonts w:ascii="Consolas" w:hAnsi="Consolas" w:eastAsia="宋体"/>
          <w:b w:val="0"/>
          <w:sz w:val="22"/>
        </w:rPr>
        <w:t>scripts/W1/eda_visualization.py</w:t>
      </w:r>
      <w:r>
        <w:rPr>
          <w:rFonts w:ascii="Times New Roman" w:hAnsi="Times New Roman" w:eastAsia="宋体"/>
          <w:b w:val="0"/>
          <w:sz w:val="22"/>
        </w:rPr>
        <w:t>：读清洗后数据，输出 5 张 EDA 图（目标分布、数值分布、违约组对比、grade 违约率、相关性热力图）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•  </w:t>
      </w:r>
      <w:r>
        <w:rPr>
          <w:rFonts w:ascii="Consolas" w:hAnsi="Consolas" w:eastAsia="宋体"/>
          <w:b w:val="0"/>
          <w:sz w:val="22"/>
        </w:rPr>
        <w:t>scripts/W1/eda_income_log_compare.py</w:t>
      </w:r>
      <w:r>
        <w:rPr>
          <w:rFonts w:ascii="Times New Roman" w:hAnsi="Times New Roman" w:eastAsia="宋体"/>
          <w:b w:val="0"/>
          <w:sz w:val="22"/>
        </w:rPr>
        <w:t>：annualIncome log 变换前后分布对比图，佐证 5.4 节"收入严重右偏"的结论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•  数据：</w:t>
      </w:r>
      <w:r>
        <w:rPr>
          <w:rFonts w:ascii="Consolas" w:hAnsi="Consolas" w:eastAsia="宋体"/>
          <w:b w:val="0"/>
          <w:sz w:val="22"/>
        </w:rPr>
        <w:t>data/train_clean.csv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2"/>
        </w:rPr>
        <w:t>data/testA_clean.csv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•  报告（txt）：</w:t>
      </w:r>
      <w:r>
        <w:rPr>
          <w:rFonts w:ascii="Consolas" w:hAnsi="Consolas" w:eastAsia="宋体"/>
          <w:b w:val="0"/>
          <w:sz w:val="22"/>
        </w:rPr>
        <w:t>outputs/W1/data_quality_report.txt</w:t>
      </w:r>
      <w:r>
        <w:rPr>
          <w:rFonts w:ascii="Times New Roman" w:hAnsi="Times New Roman" w:eastAsia="宋体"/>
          <w:b w:val="0"/>
          <w:sz w:val="22"/>
        </w:rPr>
        <w:t>（数据质量检查）、</w:t>
      </w:r>
      <w:r>
        <w:rPr>
          <w:rFonts w:ascii="Consolas" w:hAnsi="Consolas" w:eastAsia="宋体"/>
          <w:b w:val="0"/>
          <w:sz w:val="22"/>
        </w:rPr>
        <w:t>outputs/W1/outlier_report.txt</w:t>
      </w:r>
      <w:r>
        <w:rPr>
          <w:rFonts w:ascii="Times New Roman" w:hAnsi="Times New Roman" w:eastAsia="宋体"/>
          <w:b w:val="0"/>
          <w:sz w:val="22"/>
        </w:rPr>
        <w:t>（异常值检测）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•  图（EDA，6 张）：</w:t>
      </w:r>
      <w:r>
        <w:rPr>
          <w:rFonts w:ascii="Consolas" w:hAnsi="Consolas" w:eastAsia="宋体"/>
          <w:b w:val="0"/>
          <w:sz w:val="22"/>
        </w:rPr>
        <w:t>outputs/W1/eda_target_distribution.png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2"/>
        </w:rPr>
        <w:t>eda_numeric_distributions.png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2"/>
        </w:rPr>
        <w:t>eda_compare_default.png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2"/>
        </w:rPr>
        <w:t>eda_grade_default_rate.png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2"/>
        </w:rPr>
        <w:t>eda_corr_heatmap.png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2"/>
        </w:rPr>
        <w:t>eda_income_log_compare.png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•  图（异常值，2 张）：</w:t>
      </w:r>
      <w:r>
        <w:rPr>
          <w:rFonts w:ascii="Consolas" w:hAnsi="Consolas" w:eastAsia="宋体"/>
          <w:b w:val="0"/>
          <w:sz w:val="22"/>
        </w:rPr>
        <w:t>outputs/W1/outlier_boxplot.png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2"/>
        </w:rPr>
        <w:t>outputs/W1/outlier_tail.png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•  环境：</w:t>
      </w:r>
      <w:r>
        <w:rPr>
          <w:rFonts w:ascii="Consolas" w:hAnsi="Consolas" w:eastAsia="宋体"/>
          <w:b w:val="0"/>
          <w:sz w:val="22"/>
        </w:rPr>
        <w:t>reports/环境配置.md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