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w14="http://schemas.microsoft.com/office/word/2010/wordml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p>
      <w:pPr>
        <w:spacing w:before="0" w:after="2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信贷违约预测项目 · 最终项目报告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项目：基于用户历史数据与行为特征的信贷违约预测模型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作者：王子安（阿里线上数据分析实习）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周期：2026/8/31 – 2026/9/27（W1–W4）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数据：阿里天池信贷违约数据集（train 80 万 / testA 20 万）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文档版本：v1.3（2026/9/17，新增 5.7 特征数量实验、9.5 概率校准）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摘要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我们用机器学习训练了一个"违约预警"模型：给每个借款人打一个 0–1 的违约概率，机构可用它把高风险客户排在前面，配合人工审核做风控。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最终模型（LightGBM 优化版）在从未见过的 10 万人测试集上 AUC = 0.725：随机抽一对"违约 vs 正常"客户，模型有 72.5% 的概率把违约者排在前面。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模型最看重的信息是贷款条件本身：子等级、期限、等级、利率、FICO 信用分排在前列——与业务直觉和探索阶段结论互相印证，结论稳健。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模型适合做排序初筛 + 辅助人工审核，不建议全自动放款；阈值可按机构"严审 vs 宽进"目标调整（报告第 10 节给出对照表）。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1. 项目概述与业务问题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1.1 业务背景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金融科技行业快速发展，信贷业务是核心业务之一，但面临着日益增长的风险管理挑战。传统信贷审批依赖人工经验和规则判断，效率有限，也难以应对复杂多变的信用风险。本项目目标是：利用借款人的历史数据与行为特征，预测其违约概率，为金融机构的风控决策提供数据支持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1.2 要解决什么问题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把"事后亏钱"变成"事前识别"：机构在放款前，用模型判断一个借款人有多大概率的还不上钱，从而——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拒绝或延缓高风险客户；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给低风险客户更优的利率与额度（差异化定价）；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把有限的审核人力集中在"模型拿不准"的中间人群。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1.3 建模任务定义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预测目标：isDefault（0 = 正常还款，1 = 违约）。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问题类型：二分类监督学习（预测"是否违约"），并输出违约概率。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评估立场：由于违约客户只占 20%（类别不平衡），全程以精确率 / 召回率 / F1 / AUC 为主要指标，准确率仅作参考。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2. 数据说明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2.1 数据来源与规模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0"/>
        <w:gridCol w:w="1828"/>
        <w:gridCol w:w="1828"/>
        <w:gridCol w:w="3659"/>
      </w:tblGrid>
      <w:tr>
        <w:trPr>
          <w:jc w:val="center"/>
        </w:trPr>
        <w:tc>
          <w:tcPr>
            <w:tcW w:w="99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数据集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原始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清洗后</w:t>
            </w:r>
          </w:p>
        </w:tc>
        <w:tc>
          <w:tcPr>
            <w:tcW w:w="365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说明</w:t>
            </w:r>
          </w:p>
        </w:tc>
      </w:tr>
      <w:tr>
        <w:trPr>
          <w:jc w:val="center"/>
        </w:trPr>
        <w:tc>
          <w:tcPr>
            <w:tcW w:w="99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train.csv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800,000 行 × 47 列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798,498 行 × 47 列</w:t>
            </w:r>
          </w:p>
        </w:tc>
        <w:tc>
          <w:tcPr>
            <w:tcW w:w="365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含目标变量 isDefault，用于训练与验证</w:t>
            </w:r>
          </w:p>
        </w:tc>
      </w:tr>
      <w:tr>
        <w:trPr>
          <w:jc w:val="center"/>
        </w:trPr>
        <w:tc>
          <w:tcPr>
            <w:tcW w:w="99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testA.csv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200,000 行 × 46 列</w:t>
            </w:r>
          </w:p>
        </w:tc>
        <w:tc>
          <w:tcPr>
            <w:tcW w:w="182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199,623 行 × 46 列</w:t>
            </w:r>
          </w:p>
        </w:tc>
        <w:tc>
          <w:tcPr>
            <w:tcW w:w="365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无 isDefault，仅用于结构校验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重要说明：testA 是比赛用的"线上预测集"，没有违约标签，无法直接评估模型。因此本项目按任务文档要求，从 train 中切出 10%（79,850 人）作为测试集，从头到尾不参与任何建模决策，用于最终评估；testA 仅用于验证训练集分布可外推。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2.2 字段分类（47 列）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1"/>
        <w:gridCol w:w="3921"/>
        <w:gridCol w:w="3423"/>
      </w:tblGrid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类别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字段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业务含义</w:t>
            </w:r>
          </w:p>
        </w:tc>
      </w:tr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身份/合同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id、loanAmnt、term、interestRate、installment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贷款金额、期限、利率、月供</w:t>
            </w:r>
          </w:p>
        </w:tc>
      </w:tr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信用资质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grade、subGrade、fico、dti、annualIncome、homeOwnership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等级、信用分、负债收入比、收入、房产</w:t>
            </w:r>
          </w:p>
        </w:tc>
      </w:tr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历史行为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delinquency_2years、openAcc、revolUtil、totalAcc 等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逾期史、账户数、额度使用率</w:t>
            </w:r>
          </w:p>
        </w:tc>
      </w:tr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地区/申请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regionCode、purpose、applicationType、issueDate 等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地区、用途、申请类型、时间</w:t>
            </w:r>
          </w:p>
        </w:tc>
      </w:tr>
      <w:tr>
        <w:trPr>
          <w:jc w:val="center"/>
        </w:trPr>
        <w:tc>
          <w:tcPr>
            <w:tcW w:w="96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匿名特征</w:t>
            </w:r>
          </w:p>
        </w:tc>
        <w:tc>
          <w:tcPr>
            <w:tcW w:w="39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n0–n14（15 个）</w:t>
            </w:r>
          </w:p>
        </w:tc>
        <w:tc>
          <w:tcPr>
            <w:tcW w:w="3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行为计数特征的脱敏处理，含义未公布，只能黑箱使用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2.3 目标变量分布（类别不平衡，重点）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正常还款：639,211 人（80.0%）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违约：159,287 人（20.0%）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每 5 个借款人里约 1 个违约。这种不平衡意味着：全猜"正常"也能有 80% 准确率，却一个违约客户都抓不到，所以评估必须看精确率/召回率/F1/AUC（详见第 6 节）。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3. 数据预处理与质量控制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遵循"先检测、后处理、能补不删"原则：先跑异常值检测报告，再依据结论执行清洗。完整日志见 outputs/W1/outlier_report.txt。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3.1 处理决策表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2"/>
        <w:gridCol w:w="2149"/>
        <w:gridCol w:w="1367"/>
        <w:gridCol w:w="2347"/>
      </w:tblGrid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问题类型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发现（train）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处理方式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理由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年收入为 0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229 个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视为缺失并填充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逻辑上不可能，属记录错误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循环利用率 &gt;100%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2,719 个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封顶到 100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保留样本信息，只修正越界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dti 越界（&lt;0 或 &gt;100）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325 行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删除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脏数据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缺失极少列（title 等）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1,177 行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删除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占比 &lt;0.15%，删行无影响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匿名特征 n0–n14 缺失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约 40 万格（约 5%/列）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中位数填充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防止大量删行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就业年限缺失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46,375 个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填"未知"类别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保留为有效取值</w:t>
            </w:r>
          </w:p>
        </w:tc>
      </w:tr>
      <w:tr>
        <w:trPr>
          <w:jc w:val="center"/>
        </w:trPr>
        <w:tc>
          <w:tcPr>
            <w:tcW w:w="24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id 重复 / fico 上下限倒挂</w:t>
            </w:r>
          </w:p>
        </w:tc>
        <w:tc>
          <w:tcPr>
            <w:tcW w:w="21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</w:t>
            </w:r>
          </w:p>
        </w:tc>
        <w:tc>
          <w:tcPr>
            <w:tcW w:w="13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—</w:t>
            </w:r>
          </w:p>
        </w:tc>
        <w:tc>
          <w:tcPr>
            <w:tcW w:w="234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数据本身一致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3.2 异常值三层验证（为什么"抓到了却不删"）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箱线图/IQR 与 3σ 检测抓到的极端值（高收入、高余额等），经三层检验确认为真实业务极端客户：① 业务规则已先排除不可能的值；② 极端样本画像跨列自洽（收入最高者的 FICO、dti 均正常）；③ 极端值呈连续长尾而非孤立跳变。因此保留不删，后续用 log 变换压缩其影响。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3.3 清洗结果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行数：800,000 → 798,498（仅删 0.19%，样本量完整保留——清洗修的是"格子质量"，不是砍样本）。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列数：47 列（清洗阶段不变，特征选择在 W2 完成）。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成果：无缺失、无矛盾、无越界，数据可直接进入特征工程。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 探索性数据分析（EDA）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图见 outputs/W1/eda_*.png，关键发现四条，全部被后续建模印证。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4.1 信用等级是违约率最强的分层变量</w:t>
      </w:r>
    </w:p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2314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31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6"/>
        <w:gridCol w:w="3229"/>
        <w:gridCol w:w="2770"/>
      </w:tblGrid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样本数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违约率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139,462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6.0%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B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233,330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13.3%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C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226,664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22.5%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D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119,162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30.4%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E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55,527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38.4%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19,004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45.3%</w:t>
            </w:r>
          </w:p>
        </w:tc>
      </w:tr>
      <w:tr>
        <w:trPr>
          <w:jc w:val="center"/>
        </w:trPr>
        <w:tc>
          <w:tcPr>
            <w:tcW w:w="23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</w:t>
            </w:r>
          </w:p>
        </w:tc>
        <w:tc>
          <w:tcPr>
            <w:tcW w:w="322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5,349</w:t>
            </w:r>
          </w:p>
        </w:tc>
        <w:tc>
          <w:tcPr>
            <w:tcW w:w="27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49.7%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A→G 违约率从 6% 单调升到近 50%——与计量里"分组均值随分组变量单调变化"是同一逻辑。等级本身已浓缩大量风险信息，是后续模型的"头号种子特征"。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4.2 违约组 vs 正常组：均值画像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4"/>
        <w:gridCol w:w="939"/>
        <w:gridCol w:w="939"/>
        <w:gridCol w:w="4133"/>
      </w:tblGrid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正常组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违约组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解读</w:t>
            </w:r>
          </w:p>
        </w:tc>
      </w:tr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利率 interestRate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12.6%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15.7%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违约客户通常拿到更高利率（风险溢价）</w:t>
            </w:r>
          </w:p>
        </w:tc>
      </w:tr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年收入 annualIncome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77,641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70,277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违约组收入更低</w:t>
            </w:r>
          </w:p>
        </w:tc>
      </w:tr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债务收入比 dti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17.7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20.1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违约组负债压力更大</w:t>
            </w:r>
          </w:p>
        </w:tc>
      </w:tr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循环利用率 revolUtil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51.1%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54.7%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违约组更"刷爆"额度</w:t>
            </w:r>
          </w:p>
        </w:tc>
      </w:tr>
      <w:tr>
        <w:trPr>
          <w:jc w:val="center"/>
        </w:trPr>
        <w:tc>
          <w:tcPr>
            <w:tcW w:w="229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FICO 下限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698</w:t>
            </w:r>
          </w:p>
        </w:tc>
        <w:tc>
          <w:tcPr>
            <w:tcW w:w="93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688</w:t>
            </w:r>
          </w:p>
        </w:tc>
        <w:tc>
          <w:tcPr>
            <w:tcW w:w="413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违约组信用分更低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4.3 收入严重右偏 → 特征工程做 log 变换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annualIncome 均值 7.6 万 &gt; 中位数 6.5 万，90% 人群收入 ≤12.5 万，但最大达 1,099 万。取 log 后分布接近钟形（图见 outputs/W1/eda_income_log_compare.png），因此 W2 对金额类变量统一 log 变换，避免超高收入者牵着模型走。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4.4 关系偏非线性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与违约的相关系数绝对值普遍不高（利率 +0.26 最强）——说明光靠线性相关解释不了全部，这是后续引入树模型（随机森林/XGBoost）的动机之一。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 特征工程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目标：把原始字段整理成模型"最吃得动"的输入，四步走：编码 → 变换 → 创建 → 选择。完整细节见 reports/特征工程报告.md。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5.1 类别编码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有序类别用序数编码：grade（1–7）、subGrade（1–35）、employmentLength（年限，未知=-1）。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无序类别用独热编码（drop_first=True，避免虚拟变量陷阱）：homeOwnership、verificationStatus、purpose。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高基数地区用目标编码（= 训练集该地区违约率），只从训练集学习，防泄漏。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5.2 数值变换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右偏金额列（贷款金额、月供、年收入、余额）做 log1p 变换。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连续数值列 z-score 标准化（均值/标准差只从训练集拟合）。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5.3 特征创建（每个新特征都有一句业务理由）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3"/>
        <w:gridCol w:w="3362"/>
      </w:tblGrid>
      <w:tr>
        <w:trPr>
          <w:jc w:val="center"/>
        </w:trPr>
        <w:tc>
          <w:tcPr>
            <w:tcW w:w="494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新特征</w:t>
            </w:r>
          </w:p>
        </w:tc>
        <w:tc>
          <w:tcPr>
            <w:tcW w:w="336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业务理由</w:t>
            </w:r>
          </w:p>
        </w:tc>
      </w:tr>
      <w:tr>
        <w:trPr>
          <w:jc w:val="center"/>
        </w:trPr>
        <w:tc>
          <w:tcPr>
            <w:tcW w:w="494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fico_avg（fico 上下限均值）</w:t>
            </w:r>
          </w:p>
        </w:tc>
        <w:tc>
          <w:tcPr>
            <w:tcW w:w="336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同一评分的区间表示合并为一个值</w:t>
            </w:r>
          </w:p>
        </w:tc>
      </w:tr>
      <w:tr>
        <w:trPr>
          <w:jc w:val="center"/>
        </w:trPr>
        <w:tc>
          <w:tcPr>
            <w:tcW w:w="494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credit_history_years（信用历史长度，中位数 15 年）</w:t>
            </w:r>
          </w:p>
        </w:tc>
        <w:tc>
          <w:tcPr>
            <w:tcW w:w="336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信用历史越长通常越可信</w:t>
            </w:r>
          </w:p>
        </w:tc>
      </w:tr>
      <w:tr>
        <w:trPr>
          <w:jc w:val="center"/>
        </w:trPr>
        <w:tc>
          <w:tcPr>
            <w:tcW w:w="494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installment_income_ratio（月供收入比）</w:t>
            </w:r>
          </w:p>
        </w:tc>
        <w:tc>
          <w:tcPr>
            <w:tcW w:w="336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衡量"还不起"的压力</w:t>
            </w:r>
          </w:p>
        </w:tc>
      </w:tr>
      <w:tr>
        <w:trPr>
          <w:jc w:val="center"/>
        </w:trPr>
        <w:tc>
          <w:tcPr>
            <w:tcW w:w="494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grade_dti_inter、interest_loan_inter（2 个交互项）</w:t>
            </w:r>
          </w:p>
        </w:tc>
        <w:tc>
          <w:tcPr>
            <w:tcW w:w="336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计量思想：高风险因素叠加，风险更高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5.4 特征选择（60 列 → 保留 38 个特征）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过滤法（与违约的相关系数）+ 嵌入法（随机森林特征重要性）交叉判断，删除"重要性 &lt; 均值 1/10"的弱特征。被删的主要是独热编码产生的小类别列；purpose 的独热列全部被删，说明贷款用途单独看对违约预测贡献很小（已被利率、等级等特征吸收）——这是特征选择给出的客观结论。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特征重要性 Top 5（随机森林）：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32"/>
        <w:gridCol w:w="2373"/>
      </w:tblGrid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重要性</w:t>
            </w:r>
          </w:p>
        </w:tc>
      </w:tr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subGrade_enc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0.188</w:t>
            </w:r>
          </w:p>
        </w:tc>
      </w:tr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interestRate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0.134</w:t>
            </w:r>
          </w:p>
        </w:tc>
      </w:tr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grade_enc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0.109</w:t>
            </w:r>
          </w:p>
        </w:tc>
      </w:tr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term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0.069</w:t>
            </w:r>
          </w:p>
        </w:tc>
      </w:tr>
      <w:tr>
        <w:trPr>
          <w:jc w:val="center"/>
        </w:trPr>
        <w:tc>
          <w:tcPr>
            <w:tcW w:w="59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grade_dti_inter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0.045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5.5 防数据泄漏（全程底线）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目标编码、标准化、缺失填充等一切"从数据学到的规则"只从训练集学习、再套用到测试集，保证测试集（以及未来的新客户）对模型是真正"没见过"的。若有泄漏，最终评估会虚高、实际业务会翻车。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5.6 方法取舍：文档里列了、我们评估后没用上的方法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任务文档在本阶段还列了另外几种方法。逐条评估后没有全部采用，理由如下——不是不了解，而是在这份数据上用了会更差、或收益配不上成本。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9"/>
        <w:gridCol w:w="7356"/>
      </w:tblGrid>
      <w:tr>
        <w:trPr>
          <w:jc w:val="center"/>
        </w:trPr>
        <w:tc>
          <w:tcPr>
            <w:tcW w:w="9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方法</w:t>
            </w:r>
          </w:p>
        </w:tc>
        <w:tc>
          <w:tcPr>
            <w:tcW w:w="735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为什么不用</w:t>
            </w:r>
          </w:p>
        </w:tc>
      </w:tr>
      <w:tr>
        <w:trPr>
          <w:jc w:val="center"/>
        </w:trPr>
        <w:tc>
          <w:tcPr>
            <w:tcW w:w="9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最小最大归一化（MinMax）</w:t>
            </w:r>
          </w:p>
        </w:tc>
        <w:tc>
          <w:tcPr>
            <w:tcW w:w="735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它用"最大值 − 最小值"当分母，对极端值极其敏感。收入最大 1,099 万，归一化后 99.9% 的人会被压到贴近 0 的一小段里，人群之间的差异等于被抹平——W1 讨论过"收入直方图远端柱子看不见"，MinMax 会把这个毛病直接带进模型。改用 log1p + z-score 后，既压缩了长尾，又保住了相对距离。</w:t>
            </w:r>
          </w:p>
        </w:tc>
      </w:tr>
      <w:tr>
        <w:trPr>
          <w:jc w:val="center"/>
        </w:trPr>
        <w:tc>
          <w:tcPr>
            <w:tcW w:w="9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分箱（等频 / 等距切档）</w:t>
            </w:r>
          </w:p>
        </w:tc>
        <w:tc>
          <w:tcPr>
            <w:tcW w:w="735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三条理由：① grade/subGrade 本身就是机构分好的风险档（A–G、1–35 子级），序数编码已经把这层分档信息喂给了模型；② 树模型每次分裂就是在自动寻找最优切分点，人工再分一遍是重复劳动，还可能切得比模型自己找的更差；③ 风控最经典的分箱技术是 WOE，而我们对 regionCode 用的目标编码（用该地区的历史违约率替代地区编号）属于同一族思路——用目标信息给类别赋值，这层思想已经用上了。</w:t>
            </w:r>
          </w:p>
        </w:tc>
      </w:tr>
      <w:tr>
        <w:trPr>
          <w:jc w:val="center"/>
        </w:trPr>
        <w:tc>
          <w:tcPr>
            <w:tcW w:w="9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多项式特征（全量两两相乘）</w:t>
            </w:r>
          </w:p>
        </w:tc>
        <w:tc>
          <w:tcPr>
            <w:tcW w:w="735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38 个特征两两组合会膨胀到 700 多个，在 56 万训练样本、20% 违约率下极易过拟合。改为只造业务上最该交互的两组：grade × dti、interestRate × loanAmnt，其中 grade_dti_inter 直接进了特征重要性 Top 5。树模型的分裂本身也能捕捉"高等级 + 高负债"这类组合条件，全量多项式属于重复投入。</w:t>
            </w:r>
          </w:p>
        </w:tc>
      </w:tr>
      <w:tr>
        <w:trPr>
          <w:jc w:val="center"/>
        </w:trPr>
        <w:tc>
          <w:tcPr>
            <w:tcW w:w="94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包装法 RFE（递归特征消除）</w:t>
            </w:r>
          </w:p>
        </w:tc>
        <w:tc>
          <w:tcPr>
            <w:tcW w:w="735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每轮训练一次模型、只丢掉一个特征，56 万行 × 38 特征跑一轮要几十分钟到几小时；而过滤法（与违约的相关系数）+ 嵌入法（随机森林重要性）两路交叉，已经把 60 列筛到 38 个。收益与成本不成比例，故不采用——5.7 节的特征数量实验用另一种更便宜的方式给出了同样的信息：Top 25 之后 AUC 几乎不再提升，RFE 想找的“最优特征数”答案，几条曲线就够回答。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一句话总结：方法的选择标准不是"文档里有没有写"，而是"这份数据、这个任务、这类模型需不需要"。以上四项不做，本身也是一个有依据的结论，而不是遗漏。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5.7 特征数量实验：38 个都用得上吗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上述筛选解决了"该不该留"，但业务方还会问第二个问题：38 个特征是不是都得采集？少放几个会不会掉很多？（字段越少，数据采集、清洗、线上部署的成本越低。）为此做一次"逐步加特征、每次重训同一个 LGB 模型"的实验：按 W2 随机森林重要性从高到低排序，依次只喂前 N 个特征，比较验证集 AUC。为避免污染最终评估，本实验只看训练集与验证集，测试集全程不参与。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9"/>
        <w:gridCol w:w="1483"/>
        <w:gridCol w:w="1483"/>
        <w:gridCol w:w="2670"/>
      </w:tblGrid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使用特征数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训练集 AUC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验证集 AUC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相比满血模型的差距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3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0.6974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0.7005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−0.0289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5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0.7097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0.7074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−0.0220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8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0.7198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0.7127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−0.0167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10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0.7221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0.7131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−0.0163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15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0.7317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0.7205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−0.0089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20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0.7385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0.7253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−0.0041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25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0.7414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0.7284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−0.0010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30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0.7419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0.7284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−0.0010</w:t>
            </w:r>
          </w:p>
        </w:tc>
      </w:tr>
      <w:tr>
        <w:trPr>
          <w:jc w:val="center"/>
        </w:trPr>
        <w:tc>
          <w:tcPr>
            <w:tcW w:w="2669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Top 38（最终模型）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0.7432</w:t>
            </w:r>
          </w:p>
        </w:tc>
        <w:tc>
          <w:tcPr>
            <w:tcW w:w="148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0.7294</w:t>
            </w:r>
          </w:p>
        </w:tc>
        <w:tc>
          <w:tcPr>
            <w:tcW w:w="267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—</w:t>
            </w:r>
          </w:p>
        </w:tc>
      </w:tr>
    </w:tbl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24695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46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怎么读这张图：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3 个特征就拿到 96% 的性能（0.7005 / 0.7294）。这 3 个是 subGrade_enc、interestRate、grade_enc——机构给出的风险等级、子级和利率，本身就是风控专业判断的浓缩，这也和 EDA 第 4.1 节"等级是最强分层变量"完全对上。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20 个特征时达到满血模型的 99.4%（0.7253）；补齐剩下 18 个特征，只多换来 +0.0041。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25 个之后基本饱和：25 → 30 验证 AUC 一点没涨，25 → 38 也只涨 0.0010。这条曲线是典型的"边际收益递减"：真正有用的信息集中在头 20 个特征里，后面的匿名行为特征（n0–n14 等）每人贡献千分之几。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训练集 AUC 一路涨到 0.7432，验证集却早早走平，说明后加进去的特征更多是在帮模型"记熟训练集"，而不是学到新的泛化规律。这也是为什么不必把 60 列全塞进去、也是为什么不需要再做 RFE 逐轮筛选（结论已经在这里拿到了，成本却只要几分钟）。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业务结论：最终模型保留全部 38 个特征——它们已经在数据集里，多留着不增加线上成本，且确实贡献 +0.0041。但如果未来上线要精简采集口径（某些字段需要客户额外授权或人工录入），砍到 Top 20–25 个特征、AUC 损失不到 0.005，是一个有数据支撑的可行方案。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6. 基线模型构建与对比（W2）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6.1 数据划分（721）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按任务文档要求：训练 70% / 验证 20% / 测试 10%，分层抽样（每份违约率都约 20%）：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7"/>
        <w:gridCol w:w="1875"/>
        <w:gridCol w:w="4823"/>
      </w:tblGrid>
      <w:tr>
        <w:trPr>
          <w:jc w:val="center"/>
        </w:trPr>
        <w:tc>
          <w:tcPr>
            <w:tcW w:w="160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数据集</w:t>
            </w:r>
          </w:p>
        </w:tc>
        <w:tc>
          <w:tcPr>
            <w:tcW w:w="187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人数</w:t>
            </w:r>
          </w:p>
        </w:tc>
        <w:tc>
          <w:tcPr>
            <w:tcW w:w="48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用途</w:t>
            </w:r>
          </w:p>
        </w:tc>
      </w:tr>
      <w:tr>
        <w:trPr>
          <w:jc w:val="center"/>
        </w:trPr>
        <w:tc>
          <w:tcPr>
            <w:tcW w:w="160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训练集</w:t>
            </w:r>
          </w:p>
        </w:tc>
        <w:tc>
          <w:tcPr>
            <w:tcW w:w="187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558,948</w:t>
            </w:r>
          </w:p>
        </w:tc>
        <w:tc>
          <w:tcPr>
            <w:tcW w:w="48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训练模型、调参</w:t>
            </w:r>
          </w:p>
        </w:tc>
      </w:tr>
      <w:tr>
        <w:trPr>
          <w:jc w:val="center"/>
        </w:trPr>
        <w:tc>
          <w:tcPr>
            <w:tcW w:w="160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验证集</w:t>
            </w:r>
          </w:p>
        </w:tc>
        <w:tc>
          <w:tcPr>
            <w:tcW w:w="187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159,700</w:t>
            </w:r>
          </w:p>
        </w:tc>
        <w:tc>
          <w:tcPr>
            <w:tcW w:w="48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模型对比、选参</w:t>
            </w:r>
          </w:p>
        </w:tc>
      </w:tr>
      <w:tr>
        <w:trPr>
          <w:jc w:val="center"/>
        </w:trPr>
        <w:tc>
          <w:tcPr>
            <w:tcW w:w="160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测试集</w:t>
            </w:r>
          </w:p>
        </w:tc>
        <w:tc>
          <w:tcPr>
            <w:tcW w:w="187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79,850</w:t>
            </w:r>
          </w:p>
        </w:tc>
        <w:tc>
          <w:tcPr>
            <w:tcW w:w="48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最终评估，全程不碰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6.2 三个基线模型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0"/>
        <w:gridCol w:w="3691"/>
        <w:gridCol w:w="3384"/>
      </w:tblGrid>
      <w:tr>
        <w:trPr>
          <w:jc w:val="center"/>
        </w:trPr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</w:t>
            </w:r>
          </w:p>
        </w:tc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一句话解释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在本项目中的角色</w:t>
            </w:r>
          </w:p>
        </w:tc>
      </w:tr>
      <w:tr>
        <w:trPr>
          <w:jc w:val="center"/>
        </w:trPr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逻辑回归</w:t>
            </w:r>
          </w:p>
        </w:tc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线性模型，输出违约概率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线性基准，可解释性最强</w:t>
            </w:r>
          </w:p>
        </w:tc>
      </w:tr>
      <w:tr>
        <w:trPr>
          <w:jc w:val="center"/>
        </w:trPr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随机森林</w:t>
            </w:r>
          </w:p>
        </w:tc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多棵决策树投票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非线性基准，抗过拟合</w:t>
            </w:r>
          </w:p>
        </w:tc>
      </w:tr>
      <w:tr>
        <w:trPr>
          <w:jc w:val="center"/>
        </w:trPr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XGBoost</w:t>
            </w:r>
          </w:p>
        </w:tc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梯度提升树（树逐个纠错）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树模型主力，预期最强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类别不平衡处理：三模型均设置 class_weight='balanced'（LGB 用 scale_pos_weight），让模型更重视少数类（违约者）。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6.3 评估指标怎么读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准确率 accuracy：判对的比例。不平衡数据下会骗人（全猜正常也有 80%）。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精确率 precision：模型说"违约"的人里，真违约的比例。误伤多则低。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召回率 recall：真违约的人里，被抓到的比例。漏网多则低。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F1：精确率与召回率的调和平均，两个都要时看它。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AUC：随机抽一对（违约 vs 正常），模型把违约者排在正常者前面的概率。排序能力，与阈值无关，本报告最核心指标。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6.4 验证集三模型对比（阈值 0.5）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311"/>
        <w:gridCol w:w="1311"/>
        <w:gridCol w:w="1311"/>
        <w:gridCol w:w="1311"/>
        <w:gridCol w:w="1313"/>
      </w:tblGrid>
      <w:tr>
        <w:trPr>
          <w:jc w:val="center"/>
        </w:trPr>
        <w:tc>
          <w:tcPr>
            <w:tcW w:w="174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准确率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精确率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召回率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F1</w:t>
            </w:r>
          </w:p>
        </w:tc>
        <w:tc>
          <w:tcPr>
            <w:tcW w:w="131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AUC</w:t>
            </w:r>
          </w:p>
        </w:tc>
      </w:tr>
      <w:tr>
        <w:trPr>
          <w:jc w:val="center"/>
        </w:trPr>
        <w:tc>
          <w:tcPr>
            <w:tcW w:w="174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逻辑回归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0.6582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0.3241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0.6572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0.4341</w:t>
            </w:r>
          </w:p>
        </w:tc>
        <w:tc>
          <w:tcPr>
            <w:tcW w:w="131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0.7189</w:t>
            </w:r>
          </w:p>
        </w:tc>
      </w:tr>
      <w:tr>
        <w:trPr>
          <w:jc w:val="center"/>
        </w:trPr>
        <w:tc>
          <w:tcPr>
            <w:tcW w:w="174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随机森林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0.6507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0.3208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0.6723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0.4343</w:t>
            </w:r>
          </w:p>
        </w:tc>
        <w:tc>
          <w:tcPr>
            <w:tcW w:w="131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0.7198</w:t>
            </w:r>
          </w:p>
        </w:tc>
      </w:tr>
      <w:tr>
        <w:trPr>
          <w:jc w:val="center"/>
        </w:trPr>
        <w:tc>
          <w:tcPr>
            <w:tcW w:w="174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XGBoost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0.6559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0.3259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0.6785</w:t>
            </w:r>
          </w:p>
        </w:tc>
        <w:tc>
          <w:tcPr>
            <w:tcW w:w="131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0.4403</w:t>
            </w:r>
          </w:p>
        </w:tc>
        <w:tc>
          <w:tcPr>
            <w:tcW w:w="131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0.7276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结论：XGBoost 最优（AUC 0.7276）；三个模型 AUC 都在 0.72 左右，结论互相印证。图见 outputs/W2/roc_curves.png、outputs/W2/pr_curves.png。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 模型优化（W3）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7.1 调参策略：为什么用随机搜索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网格搜索要试 729 组 × 5 折 ≈ 3600+ 次训练，80 万行数据下不现实；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贝叶斯优化理论上更省，但实现调校成本高，对实习项目收益不明显；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随机搜索：从参数空间随机抽固定组数（每个模型 8 组），用最少的训练次数找到"够好的参数"。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7.2 交叉验证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StratifiedKFold(5)：训练集切 5 份轮流当验证，每折违约率保持 20%；16 组参数的 5 折平均 AUC 标准差 ≤0.0007，评分稳定可靠。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7.3 模型集成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投票法（soft voting）：LR/RF/XGB/LGB 四个模型各给一个违约概率，取平均。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堆叠法（stacking）：把四个模型的预测概率当"新特征"，再训练一个逻辑回归当"教练"综合判断（内部用 5 折交叉验证防止教练背答案）。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7.4 优化前后对比（验证集）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2"/>
        <w:gridCol w:w="1132"/>
        <w:gridCol w:w="1132"/>
        <w:gridCol w:w="1132"/>
        <w:gridCol w:w="1132"/>
        <w:gridCol w:w="1135"/>
      </w:tblGrid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准确率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精确率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召回率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F1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AUC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LR(基线)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0.6582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0.3241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0.6572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0.4341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0.7189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RF(基线)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0.6507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0.3208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0.6723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0.4343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0.7198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XGB(基线)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0.6559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0.3259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0.6785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0.4403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0.7276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XGB(优化)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0.6636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0.3301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0.6672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0.4417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0.7286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Voting(集成)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0.6601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0.3280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0.6708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0.4405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0.7276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LGB(优化)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0.6566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0.3271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0.6825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0.4422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0.7294</w:t>
            </w:r>
          </w:p>
        </w:tc>
      </w:tr>
      <w:tr>
        <w:trPr>
          <w:jc w:val="center"/>
        </w:trPr>
        <w:tc>
          <w:tcPr>
            <w:tcW w:w="264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Stacking(集成)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0.6553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0.3267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0.6860</w:t>
            </w:r>
          </w:p>
        </w:tc>
        <w:tc>
          <w:tcPr>
            <w:tcW w:w="11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0.4426</w:t>
            </w:r>
          </w:p>
        </w:tc>
        <w:tc>
          <w:tcPr>
            <w:tcW w:w="1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0.7298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三个诚实结论：① 调参有效但幅度小（AUC 提升约 +0.002）——参数优化的是细节，改变不了特征的信息量；② 集成略高于单模型但接近——四个队员里三个是"树亲戚"，观点太像，互补空间有限；③ 所有模型 AUC 都在 0.72–0.73，结论稳健、不依赖某一个模型。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7.5 最终模型选择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选 LGB(优化)（验证集 AUC 0.7294，与 Stacking 的 0.7298 几乎无差）。理由：LGB 训练快、可用 SHAP 做业务解释（Stacking 的"教练"是逻辑回归，无法直接做树级解释）、部署简单。业务交付，可解释性优先于 0.0004 的 AUC 差距。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8. 模型解释：SHAP 特征归因（W3）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对象：LGB(优化)，训练集随机抽 5 万行计算。Top 10 见下表（完整 38 个见 outputs/W3/shap_feature_importance.csv，图见 outputs/W3/shap_summary.png）：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1"/>
        <w:gridCol w:w="1230"/>
        <w:gridCol w:w="3384"/>
      </w:tblGrid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归因强度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含义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subGrade_enc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0.335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子等级（贷款细分档位）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term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0.165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贷款期限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homeOwnership_1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0.122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房屋所有权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grade_enc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0.099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贷款等级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fico_avg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0.091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FICO 信用分（W2 新建）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regionCode_enc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0.086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地区编码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n14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0.083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匿名行为特征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interestRate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0.077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贷款利率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dti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0.077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债务收入比</w:t>
            </w:r>
          </w:p>
        </w:tc>
      </w:tr>
      <w:tr>
        <w:trPr>
          <w:jc w:val="center"/>
        </w:trPr>
        <w:tc>
          <w:tcPr>
            <w:tcW w:w="369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installment_income_ratio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0.076</w:t>
            </w:r>
          </w:p>
        </w:tc>
        <w:tc>
          <w:tcPr>
            <w:tcW w:w="3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月供收入比（W2 新建）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业务解读：模型"看人先看贷款条件"——子等级 + 期限 + 等级合计约占一半归因；FICO、dti、月供收入比等"还款能力"特征紧随其后，符合风控直觉。W2 新建的 fico_avg、installment_income_ratio 进入前 10，证明特征工程有效。匿名特征 n14 等有信号但无法业务解释，只能黑箱使用。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 最终模型评估（W4，10% 测试集）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用从未参与任何建模决策的 79,850 人做最终确认。先复测验证集（与 W3 的 LGB 行完全一致，证明切分无偏差），再出最终成绩单。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9.1 测试集成绩单（阈值 0.5）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2135"/>
        <w:gridCol w:w="1423"/>
        <w:gridCol w:w="1423"/>
        <w:gridCol w:w="1426"/>
      </w:tblGrid>
      <w:tr>
        <w:trPr>
          <w:jc w:val="center"/>
        </w:trPr>
        <w:tc>
          <w:tcPr>
            <w:tcW w:w="189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accuracy</w:t>
            </w:r>
          </w:p>
        </w:tc>
        <w:tc>
          <w:tcPr>
            <w:tcW w:w="2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precision</w:t>
            </w:r>
          </w:p>
        </w:tc>
        <w:tc>
          <w:tcPr>
            <w:tcW w:w="1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recall</w:t>
            </w:r>
          </w:p>
        </w:tc>
        <w:tc>
          <w:tcPr>
            <w:tcW w:w="1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F1</w:t>
            </w:r>
          </w:p>
        </w:tc>
        <w:tc>
          <w:tcPr>
            <w:tcW w:w="142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AUC</w:t>
            </w:r>
          </w:p>
        </w:tc>
      </w:tr>
      <w:tr>
        <w:trPr>
          <w:jc w:val="center"/>
        </w:trPr>
        <w:tc>
          <w:tcPr>
            <w:tcW w:w="189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0.6560</w:t>
            </w:r>
          </w:p>
        </w:tc>
        <w:tc>
          <w:tcPr>
            <w:tcW w:w="213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0.3254</w:t>
            </w:r>
          </w:p>
        </w:tc>
        <w:tc>
          <w:tcPr>
            <w:tcW w:w="1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0.6749</w:t>
            </w:r>
          </w:p>
        </w:tc>
        <w:tc>
          <w:tcPr>
            <w:tcW w:w="142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0.4390</w:t>
            </w:r>
          </w:p>
        </w:tc>
        <w:tc>
          <w:tcPr>
            <w:tcW w:w="142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0.7249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9.2 混淆矩阵</w:t>
      </w:r>
    </w:p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36818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68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在 79,850 人中：模型判"违约"约 3.3 万人，其中约 1.08 万人真违约（精确率 0.325）；真违约的 1.6 万人中抓到约 1.08 万（召回率 0.675）。误伤好人是这种"抓坏人"任务的固有代价，靠人工复审消化。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9.3 ROC 与 PR 曲线</w:t>
      </w:r>
    </w:p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337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337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ROC：曲线远离对角线，AUC 0.725，排序能力明显强于随机（0.5）。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PR：曲线明显高于"全猜违约"基准线（0.20），说明抓违约者的效率远好于无脑全猜。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9.4 泛化能力分析（训练/验证/测试三集对比）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5"/>
      </w:tblGrid>
      <w:tr>
        <w:trPr>
          <w:jc w:val="center"/>
        </w:trPr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数据集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准确率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精确率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召回率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F1</w:t>
            </w:r>
          </w:p>
        </w:tc>
        <w:tc>
          <w:tcPr>
            <w:tcW w:w="138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AUC</w:t>
            </w:r>
          </w:p>
        </w:tc>
      </w:tr>
      <w:tr>
        <w:trPr>
          <w:jc w:val="center"/>
        </w:trPr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训练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0.6633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0.3352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0.6999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0.4533</w:t>
            </w:r>
          </w:p>
        </w:tc>
        <w:tc>
          <w:tcPr>
            <w:tcW w:w="138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0.7432</w:t>
            </w:r>
          </w:p>
        </w:tc>
      </w:tr>
      <w:tr>
        <w:trPr>
          <w:jc w:val="center"/>
        </w:trPr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验证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0.6566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0.3271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0.6825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0.4422</w:t>
            </w:r>
          </w:p>
        </w:tc>
        <w:tc>
          <w:tcPr>
            <w:tcW w:w="138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0.7294</w:t>
            </w:r>
          </w:p>
        </w:tc>
      </w:tr>
      <w:tr>
        <w:trPr>
          <w:jc w:val="center"/>
        </w:trPr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测试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0.6560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0.3254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0.6749</w:t>
            </w:r>
          </w:p>
        </w:tc>
        <w:tc>
          <w:tcPr>
            <w:tcW w:w="138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0.4390</w:t>
            </w:r>
          </w:p>
        </w:tc>
        <w:tc>
          <w:tcPr>
            <w:tcW w:w="138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0.7249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泛化结论：训练集 AUC 只比测试集高 0.018（0.7432 vs 0.7249），三集指标几乎贴着走——模型没有明显过拟合，学的是真实规律而非背题；验证集结论能原样搬到测试集，调参没有"泄漏进测试集"的嫌疑。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9.5 概率校准：让"概率"能直接算钱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9.1–9.4 证明模型的排序能力可靠（AUC 0.725），但输出概率的数值本身不可信：测试集上模型给所有人的平均违约概率是 0.4495，而实际违约率只有 0.1995——概率整体偏高约 125%；阈值 0.5 时 41.4% 的人会被判违约，真实只有约 20%。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原因：训练时为应对类别不平衡（违约率 20%）做了加权（scale_pos_weight），让模型优先抓少数类，代价就是把概率"语气说重了"。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处理办法是概率校准：用一批已知结果的数据，学一个把 0.45 修正到 0.20 附近的映射（scripts/W4/probability_calibration.py）。两种主流方法先在验证集内部对半比较（一半拟合、一半评分），选定后再应用到测试集；测试集全程不参与拟合：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2768"/>
        <w:gridCol w:w="1537"/>
        <w:gridCol w:w="1232"/>
      </w:tblGrid>
      <w:tr>
        <w:trPr>
          <w:jc w:val="center"/>
        </w:trPr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方案</w:t>
            </w:r>
          </w:p>
        </w:tc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Brier（概率误差，越小越好）</w:t>
            </w:r>
          </w:p>
        </w:tc>
        <w:tc>
          <w:tcPr>
            <w:tcW w:w="153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AUC（排序能力）</w:t>
            </w:r>
          </w:p>
        </w:tc>
        <w:tc>
          <w:tcPr>
            <w:tcW w:w="12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平均预测概率</w:t>
            </w:r>
          </w:p>
        </w:tc>
      </w:tr>
      <w:tr>
        <w:trPr>
          <w:jc w:val="center"/>
        </w:trPr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未校准</w:t>
            </w:r>
          </w:p>
        </w:tc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0.2106</w:t>
            </w:r>
          </w:p>
        </w:tc>
        <w:tc>
          <w:tcPr>
            <w:tcW w:w="153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0.7249</w:t>
            </w:r>
          </w:p>
        </w:tc>
        <w:tc>
          <w:tcPr>
            <w:tcW w:w="12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0.4495</w:t>
            </w:r>
          </w:p>
        </w:tc>
      </w:tr>
      <w:tr>
        <w:trPr>
          <w:jc w:val="center"/>
        </w:trPr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Isotonic（保序回归）</w:t>
            </w:r>
          </w:p>
        </w:tc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0.1425</w:t>
            </w:r>
          </w:p>
        </w:tc>
        <w:tc>
          <w:tcPr>
            <w:tcW w:w="153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0.7248</w:t>
            </w:r>
          </w:p>
        </w:tc>
        <w:tc>
          <w:tcPr>
            <w:tcW w:w="12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0.1993</w:t>
            </w:r>
          </w:p>
        </w:tc>
      </w:tr>
      <w:tr>
        <w:trPr>
          <w:jc w:val="center"/>
        </w:trPr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Platt（Sigmoid 校准，采用）</w:t>
            </w:r>
          </w:p>
        </w:tc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0.1424</w:t>
            </w:r>
          </w:p>
        </w:tc>
        <w:tc>
          <w:tcPr>
            <w:tcW w:w="153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0.7249</w:t>
            </w:r>
          </w:p>
        </w:tc>
        <w:tc>
          <w:tcPr>
            <w:tcW w:w="12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0.1993</w:t>
            </w:r>
          </w:p>
        </w:tc>
      </w:tr>
      <w:tr>
        <w:trPr>
          <w:jc w:val="center"/>
        </w:trPr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（参考：实际违约率）</w:t>
            </w:r>
          </w:p>
        </w:tc>
        <w:tc>
          <w:tcPr>
            <w:tcW w:w="276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—</w:t>
            </w:r>
          </w:p>
        </w:tc>
        <w:tc>
          <w:tcPr>
            <w:tcW w:w="153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—</w:t>
            </w:r>
          </w:p>
        </w:tc>
        <w:tc>
          <w:tcPr>
            <w:tcW w:w="123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0.1995</w:t>
            </w:r>
          </w:p>
        </w:tc>
      </w:tr>
    </w:tbl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1684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16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校准后平均概率 0.1993，与实际违约率 0.1995 几乎完全一致；概率预测误差（Brier 分数）从 0.2106 降到 0.1424。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AUC 保持不变（0.7249）：校准只修正概率的数值标度，不改变排序能力。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两种方法几乎打平（测试集 Brier 0.1424 vs 0.1425），选实现更简单、小样本下更稳的 Platt。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为什么这一步重要：校准前，模型说"概率 0.6"只能理解为"相对更危险"；校准后概率就是违约率的真实估计，可以直接乘贷款金额算期望损失——这是后续期望损失决策框架的地基。注意：校准后概率集中在 0–0.3 区间（真实违约率本就只有 20%），原先"阈值 0.5"不再对应 41% 的拒绝率，业务切割线要按金额账重新定（见第 10 节）。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10. 风险阈值选择（业务决策）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10.1 固定阈值对照表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模型输出的是概率，机构需要定一条"多少分以上算违约"的线（阈值）。测试集上不同阈值的对照（outputs/W4/threshold_table.csv）：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"/>
        <w:gridCol w:w="1510"/>
        <w:gridCol w:w="1510"/>
        <w:gridCol w:w="1258"/>
        <w:gridCol w:w="3021"/>
      </w:tblGrid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阈值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精确率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召回率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F1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被判违约占比</w:t>
            </w:r>
          </w:p>
        </w:tc>
      </w:tr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0.245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0.923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0.388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75.1%</w:t>
            </w:r>
          </w:p>
        </w:tc>
      </w:tr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0.281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0.828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0.420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58.7%</w:t>
            </w:r>
          </w:p>
        </w:tc>
      </w:tr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0.5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0.325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0.675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0.439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41.4%</w:t>
            </w:r>
          </w:p>
        </w:tc>
      </w:tr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0.6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0.386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0.475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0.426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24.5%</w:t>
            </w:r>
          </w:p>
        </w:tc>
      </w:tr>
      <w:tr>
        <w:trPr>
          <w:jc w:val="center"/>
        </w:trPr>
        <w:tc>
          <w:tcPr>
            <w:tcW w:w="100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0.7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0.474</w:t>
            </w:r>
          </w:p>
        </w:tc>
        <w:tc>
          <w:tcPr>
            <w:tcW w:w="151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0.262</w:t>
            </w:r>
          </w:p>
        </w:tc>
        <w:tc>
          <w:tcPr>
            <w:tcW w:w="125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0.337</w:t>
            </w:r>
          </w:p>
        </w:tc>
        <w:tc>
          <w:tcPr>
            <w:tcW w:w="30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11.0%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怎么选：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阈值低（0.3）＝ 宁杀错不放过：抓到 92% 的违约者，但 3/4 的申请会被拦下，误伤好客户多。适合：坏账损失极高、风险偏好保守的时期或客群。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阈值高（0.7）＝ 只拦最危险的：抓到的 26% 违约者里近一半是真违约（精确率 0.474），但漏掉大量违约者。适合：想放量增长、只把人工复核留给最极端风险的机构。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默认建议 0.5：均衡档，抓 2/3 违约者、误伤可控，适合作为起步线；后续结合机构的坏账成本与人工审核能力微调。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业务落地方式：不建议"一刀切拒绝"，更推荐分层处理——低分直接拒、中间分数进人工审核、高分自动通过，把模型当"排序工具"而非"最终裁判"。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10.2 从"拍一条线"到"按笔算账"：期望损失框架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固定阈值是"一刀切"：概率过线就拒。但一笔贷款值不值得放，不只看违约概率，还要看金额、期限、利率（赚多少）和回收率（亏多少）。把这四件事合成一笔账（scripts/W4/expected_loss_framework.py）：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每 1 元贷款的期望利润 =（1 − p）× 净收益率 × 期限 − p ×（1 − 回收率）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其中 p 必须用校准后的概率（9.5 节），否则概率虚高、账全算错。决策规则：期望利润 &gt; 0 批准，否则拒绝——它等价于给每笔贷款算一条自己的隐含阈值：赚得多的贷款（长期、高息）能容忍更高风险，利差薄的更严格。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下表统一用"净息差 6%、回收率 30%"口径评价经济后果（保证各策略可比；参数为演示假设，需机构财务口径确认）：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4"/>
        <w:gridCol w:w="965"/>
        <w:gridCol w:w="1821"/>
        <w:gridCol w:w="1638"/>
        <w:gridCol w:w="967"/>
      </w:tblGrid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策略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被拒占比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拦截率（真违约被拒）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被拒者中真违约占比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总期望利润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全放（不筛选）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0%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—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2,085 万元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固定阈值 0.5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41.4%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67.5%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32.5%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6,155 万元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期望损失框架 · 乐观（利息全额）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1.8%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4.6%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52.4%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2,670 万元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期望损失框架 · 中性（净息差 6%）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35.2%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59.8%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33.9%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6,611 万元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期望损失框架 · 保守（净息差 3%）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65.3%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86.4%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26.4%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4,983 万元</w:t>
            </w:r>
          </w:p>
        </w:tc>
      </w:tr>
      <w:tr>
        <w:trPr>
          <w:jc w:val="center"/>
        </w:trPr>
        <w:tc>
          <w:tcPr>
            <w:tcW w:w="2914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期望损失框架（未校准概率，对照）</w:t>
            </w:r>
          </w:p>
        </w:tc>
        <w:tc>
          <w:tcPr>
            <w:tcW w:w="965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87.7%</w:t>
            </w:r>
          </w:p>
        </w:tc>
        <w:tc>
          <w:tcPr>
            <w:tcW w:w="1821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97.4%</w:t>
            </w:r>
          </w:p>
        </w:tc>
        <w:tc>
          <w:tcPr>
            <w:tcW w:w="1638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22.2%</w:t>
            </w:r>
          </w:p>
        </w:tc>
        <w:tc>
          <w:tcPr>
            <w:tcW w:w="967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2,110 万元</w:t>
            </w:r>
          </w:p>
        </w:tc>
      </w:tr>
    </w:tbl>
    <w:p>
      <w:pPr>
        <w:spacing w:before="60" w:after="6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/>
          <w:b w:val="0"/>
          <w:bCs/>
          <w:sz w:val="21"/>
        </w:rPr>
        <w:drawing>
          <wp:inline distT="0" distB="0" distL="114300" distR="114300">
            <wp:extent cx="4050000" cy="16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怎么读：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中性情景下，框架比固定阈值"少拒多赚"：拒绝 35.2%（低于固定阈值 41.4%），期望利润反而更高（6,611 vs 6,155 万元）。原因：框架不追求"多抓坏人"，而是"每笔账为正"，主动放过那些"利息收入能覆盖预期损失"的高风险客户。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收益口径是最大敏感源：同样的框架，收益假设从"利息全赚"换成"净息差 3%"，拒绝率从 1.8% 涨到 65.3%。最终切割线必须由机构真实财务口径决定，不能拍脑袋。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校准是前提：不校准概率直接套框架，拒绝率会虚高到 87.7%——概率虚高让每一笔账都算错。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诚实声明：这是演示性测算（净收益率、回收率、违约损失均为简化假设），不构成利润结论；真实落地需用机构财务数据重新标定参数。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11. 业务建议汇总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1. 定位：模型适合做风险排序初筛 + 辅助人工审核，AUC 0.725 尚不足以支撑全自动放款；把违约概率从高到低排序，审核人力优先投入中间分数段。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2. 第一道防线看贷款条件：子等级、期限、等级、利率、FICO 是模型最看重的信息，机构的风控规则引擎可以围绕它们设置硬性门槛（如特定等级 + 高利率组合直接降额）。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3. 阈值按经营目标调：保守期用低阈值（0.3–0.4）多拦、扩张期用高阈值（0.6–0.7）多放，默认从 0.5 起步。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4. 注意精确率的代价：阈值 0.5 下被判违约的人里约 1/3 是真违约，2/3 是误伤——误伤客户需要人工复审消化，机构要为此配置审核资源。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5. 持续迭代：模型目前只用了一期数据，建议按月滚动收集新放款的表现数据，重新训练并监控 AUC 衰减。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12. 模型局限性与改进建议（诚实清单）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3"/>
        <w:gridCol w:w="5060"/>
        <w:gridCol w:w="2272"/>
      </w:tblGrid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局限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说明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改进方向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违约率 20% 偏高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样本违约率明显高于真实客群（通常 &lt;5%）；概率标度已用 Platt 校准修正（9.5 节），但迁移到真实客群仍需真实数据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用真实客群数据重训并重新校准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匿名特征不可解释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n0–n14 有信号但无业务含义，无法向监管解释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与数据提供方确认口径，或用可解释特征替代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无时间维度验证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一期截面数据，无法证明模型在未来时点仍有效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按发放月份做时间序列回测（Walk-forward）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testA 无标签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线上集无法直接评估，最终评估用的是自切测试集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争取带标签的新数据做线上验证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精确率有限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阈值 0.5 下误伤较多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结合人工审核流程、分层阈值策略，而非单纯提高模型</w:t>
            </w:r>
          </w:p>
        </w:tc>
      </w:tr>
      <w:tr>
        <w:trPr>
          <w:jc w:val="center"/>
        </w:trPr>
        <w:tc>
          <w:tcPr>
            <w:tcW w:w="9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集成提升有限</w:t>
            </w:r>
          </w:p>
        </w:tc>
        <w:tc>
          <w:tcPr>
            <w:tcW w:w="5060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队员同质（三个树模型），互补空间小</w:t>
            </w:r>
          </w:p>
        </w:tc>
        <w:tc>
          <w:tcPr>
            <w:tcW w:w="227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引入线性/深度模型等异质基学习器，或做特征多样性</w:t>
            </w:r>
          </w:p>
        </w:tc>
      </w:tr>
    </w:tbl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13. 交付物与复现方式</w:t>
      </w:r>
    </w:p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13.1 代码与数据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"/>
        <w:gridCol w:w="3373"/>
        <w:gridCol w:w="3936"/>
      </w:tblGrid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交付物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位置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说明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数据预处理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scripts/data_preprocessing.py（W1）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检测 + 清洗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数据探索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scripts/W1/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质量报告 + EDA 图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特征工程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scripts/W2/feature_engineering.py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编码/变换/创建/选择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模型训练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scripts/W2/model_training.py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三模型基线对比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模型优化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scripts/W3/model_optimization.py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调参/集成/SHAP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最终评估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scripts/W4/model_final_eval.py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测试集评估/阈值/泛化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概率校准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scripts/W4/probability_calibration.py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Platt 校准：概率可直接算钱（9.5 节）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期望损失框架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scripts/W4/expected_loss_framework.py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按笔算账的阈值决策 + 敏感性（10.2 节）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特征数量实验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scripts/W4/feature_count_auc.py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逐步加特征重训，回答“38 个是否都用得上”（5.7 节）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完整流程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main_pipeline.ipynb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整合 W1–W4 的复现 Notebook</w:t>
            </w:r>
          </w:p>
        </w:tc>
      </w:tr>
      <w:tr>
        <w:trPr>
          <w:jc w:val="center"/>
        </w:trPr>
        <w:tc>
          <w:tcPr>
            <w:tcW w:w="99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数据</w:t>
            </w:r>
          </w:p>
        </w:tc>
        <w:tc>
          <w:tcPr>
            <w:tcW w:w="337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data/train_final.csv、data/testA_final.csv</w:t>
            </w:r>
          </w:p>
        </w:tc>
        <w:tc>
          <w:tcPr>
            <w:tcW w:w="3936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特征工程最终产物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13.2 报告与可视化</w:t>
      </w:r>
    </w:p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3"/>
        <w:gridCol w:w="7352"/>
      </w:tblGrid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交付物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位置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本报告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reports/最终项目报告.md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分阶段报告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reports/环境配置.md、数据探索报告.md、特征工程报告.md、模型评估报告.md、模型优化报告.md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周报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reports/周报/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图表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outputs/W1/（EDA）、outputs/W2/（基线）、outputs/W3/（优化/SHAP）、outputs/W4/（最终评估、校准曲线、期望损失敏感性、特征数量曲线）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交互仪表板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Streamlit 应用（复用 EDA 图 + 模型结果，含阈值滑块）</w:t>
            </w:r>
          </w:p>
        </w:tc>
      </w:tr>
      <w:tr>
        <w:trPr>
          <w:jc w:val="center"/>
        </w:trPr>
        <w:tc>
          <w:tcPr>
            <w:tcW w:w="953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演示 PPT</w:t>
            </w:r>
          </w:p>
        </w:tc>
        <w:tc>
          <w:tcPr>
            <w:tcW w:w="7352" w:type="dxa"/>
          </w:tcPr>
          <w:p>
            <w:pPr>
              <w:spacing w:before="20" w:after="20" w:line="240" w:lineRule="auto"/>
              <w:rPr>
                <w:rFonts w:ascii="verdana" w:hAnsi="verdana" w:eastAsia="宋体"/>
                <w:b w:val="0"/>
                <w:bCs/>
                <w:sz w:val="21"/>
              </w:rPr>
            </w:pPr>
            <w:r>
              <w:rPr>
                <w:rFonts w:ascii="verdana" w:hAnsi="verdana" w:eastAsia="宋体"/>
                <w:b w:val="0"/>
                <w:bCs/>
                <w:sz w:val="21"/>
              </w:rPr>
              <w:t xml:space="preserve">presentation.pptx（10–15 页）</w:t>
            </w:r>
          </w:p>
        </w:tc>
      </w:tr>
    </w:tbl>
    <w:p>
      <w:pPr>
        <w:spacing w:before="200" w:after="10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13.3 复现方式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# 1. 环境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python3 -m venv .venv &amp;&amp; source .venv/bin/activate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pip install -r requirements.txt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# 2. 数据 → 清洗 → 特征 → 建模 → 优化 → 最终评估（顺序执行）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scripts/data_preprocessing.py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scripts/W2/feature_engineering.py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scripts/W2/model_training.py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scripts/W3/model_optimization.py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scripts/W4/model_final_eval.py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scripts/W4/feature_count_auc.py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scripts/W4/probability_calibration.py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python scripts/W4/expected_loss_framework.py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# 3. 交互仪表板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streamlit run app_dashboard.py</w:t>
      </w:r>
    </w:p>
    <w:p>
      <w:pPr>
        <w:spacing w:line="240" w:lineRule="auto"/>
        <w:rPr>
          <w:rFonts w:ascii="verdana" w:hAnsi="verdana" w:eastAsia="宋体"/>
          <w:b w:val="0"/>
          <w:bCs/>
          <w:sz w:val="21"/>
        </w:rPr>
      </w:pPr>
    </w:p>
    <w:p>
      <w:pPr>
        <w:spacing w:before="260" w:after="120" w:line="240" w:lineRule="auto"/>
        <w:jc w:val="center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附录：关键数字速查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样本：80 万 → 清洗后 798,498；特征 47 → 38 个特征（60 列含标签 → 39 列）。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划分：训练 558,948 / 验证 159,700 / 测试 79,850（各集违约率均约 20%）。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违约率：20.0%（正常 80.0% / 违约 20.0%）。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最终模型：LightGBM（subsample=0.8, num_leaves=63, n_estimators=200, max_depth=8, learning_rate=0.05, colsample_bytree=0.7）。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测试集成绩（阈值 0.5）：accuracy 0.6560 / precision 0.3254 / recall 0.6749 / F1 0.4390 / AUC 0.7249。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泛化：训练 AUC 0.7432 / 验证 0.7294 / 测试 0.7249，无明显过拟合。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概率校准：平均概率 0.4495（虚高 125%）→ Platt 校准后 0.1993 ≈ 实际 0.1995；Brier 0.2106 → 0.1424；AUC 不变（0.7249）。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期望损失框架（中性口径：净息差 6%、回收率 30%）：拒绝 35.2%、拦截 59.8%、期望利润 6,611 万元（固定阈值 0.5 为 41.4% / 67.5% / 6,155 万元）。</w:t>
      </w:r>
    </w:p>
    <w:p>
      <w:pPr>
        <w:spacing w:after="60" w:line="240" w:lineRule="auto"/>
        <w:rPr>
          <w:rFonts w:ascii="verdana" w:hAnsi="verdana" w:eastAsia="宋体"/>
          <w:b w:val="0"/>
          <w:bCs/>
          <w:sz w:val="21"/>
        </w:rPr>
      </w:pPr>
      <w:r>
        <w:rPr>
          <w:rFonts w:ascii="verdana" w:hAnsi="verdana" w:eastAsia="宋体"/>
          <w:b w:val="0"/>
          <w:bCs/>
          <w:sz w:val="21"/>
        </w:rPr>
        <w:t xml:space="preserve">· 默认阈值建议：0.5（0.3 严审 / 0.7 宽进，按经营目标调整）。</w:t>
      </w:r>
    </w:p>
    <w:sectPr>
      <w:pgSz w:w="11905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verdana">
    <w:panose1 w:val="020B0804030504040204"/>
    <w:charset w:val="00"/>
    <w:family w:val="auto"/>
    <w:pitch w:val="default"/>
    <w:sig w:usb0="A10006FF" w:usb1="4000205B" w:usb2="00000010" w:usb3="00000000" w:csb0="2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2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5D4736"/>
    <w:rsid w:val="EFFE7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theme" Target="theme/theme1.xml"/><Relationship Id="rId10" Type="http://schemas.openxmlformats.org/officeDocument/2006/relationships/numbering" Target="numbering.xml"/><Relationship Id="rId12" Type="http://schemas.openxmlformats.org/officeDocument/2006/relationships/fontTable" Target="fontTable.xm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qzuser</cp:lastModifiedBy>
  <dcterms:modified xsi:type="dcterms:W3CDTF">2026-09-14T17:05:37Z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0C802699B4BDD4E8E1B8A76AAF92BFB9_43</vt:lpwstr>
  </property>
</Properties>
</file>