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6157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信贷违约预测项目 · 模型优化报告（W3）</w:t>
      </w:r>
    </w:p>
    <w:p w14:paraId="27D3178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项目：基于用户历史数据与行为特征的信贷违约预测模型</w:t>
      </w:r>
    </w:p>
    <w:p w14:paraId="20D8CCA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阶段：W3 模型优化（对应项目任务 5.1–5.4，含 SHAP 模型解释）</w:t>
      </w:r>
    </w:p>
    <w:p w14:paraId="2F51E877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输入：data/train_final.csv（798,498 行 × 39 列 = 38 个特征 + 目标变量 isDefault）</w:t>
      </w:r>
    </w:p>
    <w:p w14:paraId="645A81A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代码：scripts/W3/model_optimization.py（调优与集成）、optimization_plots.py（配图）、tuning_method_compare.py（调参方法对比）、model_significance_test.py（模型差异显著性检验）</w:t>
      </w:r>
    </w:p>
    <w:p w14:paraId="12CF6D9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产物：outputs/W3/ 调优参数记录、优化前后对比表、调参方法对比、显著性检验、SHAP 归因图与归因表</w:t>
      </w:r>
    </w:p>
    <w:p w14:paraId="61178A0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日期：2026/9/21</w:t>
      </w:r>
    </w:p>
    <w:p w14:paraId="379EF323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摘要</w:t>
      </w:r>
    </w:p>
    <w:p w14:paraId="5E17874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一、调优有效，但幅度有限。用随机搜索 + 5 折交叉验证为 XGBoost、LightGBM 各试 8 组参数，最优的 K 折平均 AUC 分别为 0.7247 与 0.7249；把最优参数放回验证集复测，XGB 从基线 0.7276 升到 0.7286，LGB 达 0.7294，堆叠集成最高 0.7298，相对基线提升约 +0.002。</w:t>
      </w:r>
    </w:p>
    <w:p w14:paraId="5618BDD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二、提升小是正常结果，不是方法没用对。AUC 衡量的是“排序能力”，基线模型已经把数据里的主要信号学得差不多了；参数优化是在细节上微调，真正决定天花板的是特征里有没有更多信息，而不是模型参数。</w:t>
      </w:r>
    </w:p>
    <w:p w14:paraId="09E625F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三、模型之间的结论互相印证。7 个模型（3 基线 + 2 优化 + 2 集成）的验证集 AUC 全部落在 0.719–0.730 的窄区间，说明这组数据能支持的判别力就在这个水平，结论不依赖某一个模型，报告可信。</w:t>
      </w:r>
    </w:p>
    <w:p w14:paraId="6E720AC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四、SHAP 告诉业务：模型首先看“贷款条件”。子等级（subGrade）、期限（term）、房屋所有权、等级（grade）、FICO 信用分排在前列，与 W1 的 EDA、W2 的特征重要性三处互相印证。</w:t>
      </w:r>
    </w:p>
    <w:p w14:paraId="5031091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五、两组补充实验让结论更扎实。一是三种调参方法的等预算对照（网格 / 随机 / 贝叶斯），结论是三种方法都能命中同一水平的最优点，随机搜索没有漏掉更优的参数区域；二是模型差异的显著性检验（DeLong + Bootstrap，10 组两两对比中 9 组显著），说明模型之间的差距是真的，但小到不值得为它多付算力（集成模型预测要 249 秒，单模型只要 6 秒），最终模型因此选 LGB（优化）。</w:t>
      </w:r>
    </w:p>
    <w:p w14:paraId="7DF98A2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六、数据纪律全程守住。10% 测试集（79,850 人）从 W2 切出后一次未碰，留给阶段 6 做最终确认。</w:t>
      </w:r>
    </w:p>
    <w:p w14:paraId="2EA6B50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01A509F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1. 本阶段目标与数据纪律</w:t>
      </w:r>
    </w:p>
    <w:p w14:paraId="0AE5A3C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本阶段的目标有两个：一是把 W2 的基线模型“往好里推一推”，二是把模型“为什么这么判断”讲清楚。对应项目任务 5.1 超参数调优、5.2 交叉验证、5.3 模型集成、5.4 调优后复测，以及模型解释（SHAP）。</w:t>
      </w:r>
    </w:p>
    <w:p w14:paraId="5056C80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数据划分沿用 W2 model_training.py 的完全一致口径：训练集 558,948 人 / 验证集 159,700 人 / 测试集 79,850 人（7:2:1 分层抽样，random_state=42）。三条线各司其职、不串线——K 折交叉验证只在训练集内部进行；验证集只用于最终复测；测试集留到阶段 6。这样做是为了防止“用调过参的模型再去测同一批数据”这种自欺欺人的做法。</w:t>
      </w:r>
    </w:p>
    <w:p w14:paraId="730B2E7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 超参数调优（任务 5.1）</w:t>
      </w:r>
    </w:p>
    <w:p w14:paraId="6BB0951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2.1 调参方法的选择：三种方法先做对照实验，再定方案</w:t>
      </w:r>
    </w:p>
    <w:p w14:paraId="43A297E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任务 5.1 列了三种主流搜索方式，先把它们是什么说清楚：</w:t>
      </w:r>
    </w:p>
    <w:p w14:paraId="3F62CDB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网格搜索：把每个参数的所有取值做全组合，一个不漏。本阶段正式调参的空间有 6 个参数、每个 3 个取值，组合数 3^6 = 729 组，每组还要跑 5 折交叉验证，共 3,600 多次训练——80 万行数据下不现实。</w:t>
      </w:r>
    </w:p>
    <w:p w14:paraId="61D78AC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贝叶斯优化（TPE）：根据前几次试验的成绩，优先去“更可能出好成绩”的区域继续试，理论上更省次数。</w:t>
      </w:r>
    </w:p>
    <w:p w14:paraId="09F40FE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随机搜索：从参数空间里随机抽固定组数，实现最简单、与模型库配合最顺。</w:t>
      </w:r>
    </w:p>
    <w:p w14:paraId="580A20F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先说说直觉：贝叶斯边试边学，理论上最省次数；网格一个不漏但最贵；随机搜索最简单，但可能靠运气漏掉好区域。三种方法到底差多少？我们没有直接下结论，而是做了一组等预算对照实验来回答（子样本 20 万行、3 折，控制时间成本）：</w:t>
      </w:r>
    </w:p>
    <w:p w14:paraId="2076F5A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实验一（可网格化的小空间）：4 个旋钮共 24 个组合，三种方法各给 24 次评估预算。结果为网格 0.7210、随机 0.7209、贝叶斯 0.7210——三者的最优水平完全一样，谁也没有找到“更优解”；差别在试错效率：贝叶斯的平均成绩 0.7192 高于网格 0.7173、随机 0.7165，说明它更少走弯路（网格能全枚举，但好点排在第 3 个纯属空间排序；随机搜索平均到第 19 次才撞上最优点，靠的是运气）。</w:t>
      </w:r>
    </w:p>
    <w:p w14:paraId="0C18DEE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实验二（6 个旋钮的大空间）：若每个旋钮离散成 5 档，网格需要枚举 5^6 = 15,625 组、约 26 小时，算力上不可行，因此只比随机与贝叶斯、各给 30 次预算。结果两者最优同为 0.7219；平均成绩贝叶斯 0.7201 高于随机 0.7186。</w:t>
      </w:r>
    </w:p>
    <w:p w14:paraId="6BEFF40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结论：三种方法都能命中同一水平的最优点，差别只在试错效率。考虑到随机搜索实现和复现成本最低、8 组预算下已能覆盖重要区域，</w:t>
      </w:r>
      <w:r>
        <w:rPr>
          <w:rFonts w:ascii="verdana" w:hAnsi="verdana" w:eastAsia="宋体"/>
          <w:b w:val="0"/>
          <w:bCs/>
          <w:sz w:val="16"/>
          <w:highlight w:val="yellow"/>
        </w:rPr>
        <w:t>正式调参采用随机搜索</w:t>
      </w:r>
      <w:r>
        <w:rPr>
          <w:rFonts w:ascii="verdana" w:hAnsi="verdana" w:eastAsia="宋体"/>
          <w:b w:val="0"/>
          <w:bCs/>
          <w:sz w:val="16"/>
        </w:rPr>
        <w:t>；贝叶斯的对照结果写进报告，用来回答“有没有漏掉更优的参数区域”。</w:t>
      </w:r>
    </w:p>
    <w:p w14:paraId="2E8AEFE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口径说明：对照实验在 20 万行子样本、3 折条件下完成（等预算比较，单次评估约 6 秒），与下面全量 5 折的正式调参结论可能存在细微差异，故只用于方法比较，不参与最终模型选择。</w:t>
      </w:r>
    </w:p>
    <w:p w14:paraId="0F5A06A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5406390" cy="164973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F5E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1｜三种调参方法的等预算对照。左：实验一（24 个组合的小空间）的收敛曲线；中：实验二（6 旋钮大空间）的收敛曲线；右：各方法的平均试错质量（同一预算下所有试验的平均 AUC，越高说明越少走弯路）。</w:t>
      </w:r>
    </w:p>
    <w:p w14:paraId="671976B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2.2 调参对象与参数空间</w:t>
      </w:r>
    </w:p>
    <w:p w14:paraId="63832B7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调参只针对 XGBoost 和 LightGBM：树模型参数多、提升空间大，且直接承载 W3 的优化目标。逻辑回归只有正则化强度等少量参数，随机森林调参代价高、收益低，二者保持 W2 基线参数不动——这样“优化前后”的对比才干净。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2600"/>
        <w:gridCol w:w="2100"/>
        <w:gridCol w:w="2105"/>
      </w:tblGrid>
      <w:tr w14:paraId="0334E460">
        <w:trPr>
          <w:jc w:val="center"/>
        </w:trPr>
        <w:tc>
          <w:tcPr>
            <w:tcW w:w="1500" w:type="dxa"/>
          </w:tcPr>
          <w:p w14:paraId="3CEB826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参数</w:t>
            </w:r>
          </w:p>
        </w:tc>
        <w:tc>
          <w:tcPr>
            <w:tcW w:w="2600" w:type="dxa"/>
          </w:tcPr>
          <w:p w14:paraId="18B03D7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大白话</w:t>
            </w:r>
          </w:p>
        </w:tc>
        <w:tc>
          <w:tcPr>
            <w:tcW w:w="2100" w:type="dxa"/>
          </w:tcPr>
          <w:p w14:paraId="4BEE88B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XGBoost 取值</w:t>
            </w:r>
          </w:p>
        </w:tc>
        <w:tc>
          <w:tcPr>
            <w:tcW w:w="2105" w:type="dxa"/>
          </w:tcPr>
          <w:p w14:paraId="05D86BC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LightGBM 取值</w:t>
            </w:r>
          </w:p>
        </w:tc>
      </w:tr>
      <w:tr w14:paraId="2F359D07">
        <w:trPr>
          <w:jc w:val="center"/>
        </w:trPr>
        <w:tc>
          <w:tcPr>
            <w:tcW w:w="1500" w:type="dxa"/>
          </w:tcPr>
          <w:p w14:paraId="39037EA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n_estimators</w:t>
            </w:r>
          </w:p>
        </w:tc>
        <w:tc>
          <w:tcPr>
            <w:tcW w:w="2600" w:type="dxa"/>
          </w:tcPr>
          <w:p w14:paraId="10EEA20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树的数量</w:t>
            </w:r>
          </w:p>
        </w:tc>
        <w:tc>
          <w:tcPr>
            <w:tcW w:w="2100" w:type="dxa"/>
          </w:tcPr>
          <w:p w14:paraId="1431B45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100 / 200 / 300</w:t>
            </w:r>
          </w:p>
        </w:tc>
        <w:tc>
          <w:tcPr>
            <w:tcW w:w="2105" w:type="dxa"/>
          </w:tcPr>
          <w:p w14:paraId="70A3D74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100 / 200 / 300</w:t>
            </w:r>
          </w:p>
        </w:tc>
      </w:tr>
      <w:tr w14:paraId="101AFD3A">
        <w:trPr>
          <w:jc w:val="center"/>
        </w:trPr>
        <w:tc>
          <w:tcPr>
            <w:tcW w:w="1500" w:type="dxa"/>
          </w:tcPr>
          <w:p w14:paraId="7AC72EF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max_depth</w:t>
            </w:r>
          </w:p>
        </w:tc>
        <w:tc>
          <w:tcPr>
            <w:tcW w:w="2600" w:type="dxa"/>
          </w:tcPr>
          <w:p w14:paraId="582C5C0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每棵树最多长几层</w:t>
            </w:r>
          </w:p>
        </w:tc>
        <w:tc>
          <w:tcPr>
            <w:tcW w:w="2100" w:type="dxa"/>
          </w:tcPr>
          <w:p w14:paraId="7875531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4 / 6 / 8</w:t>
            </w:r>
          </w:p>
        </w:tc>
        <w:tc>
          <w:tcPr>
            <w:tcW w:w="2105" w:type="dxa"/>
          </w:tcPr>
          <w:p w14:paraId="6E421A4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不限 / 6 / 8</w:t>
            </w:r>
          </w:p>
        </w:tc>
      </w:tr>
      <w:tr w14:paraId="54925D0A">
        <w:trPr>
          <w:jc w:val="center"/>
        </w:trPr>
        <w:tc>
          <w:tcPr>
            <w:tcW w:w="1500" w:type="dxa"/>
          </w:tcPr>
          <w:p w14:paraId="1FC0AFB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learning_rate</w:t>
            </w:r>
          </w:p>
        </w:tc>
        <w:tc>
          <w:tcPr>
            <w:tcW w:w="2600" w:type="dxa"/>
          </w:tcPr>
          <w:p w14:paraId="733B472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每棵树的纠错步长（小步慢学）</w:t>
            </w:r>
          </w:p>
        </w:tc>
        <w:tc>
          <w:tcPr>
            <w:tcW w:w="2100" w:type="dxa"/>
          </w:tcPr>
          <w:p w14:paraId="69768B7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0.03 / 0.05 / 0.1</w:t>
            </w:r>
          </w:p>
        </w:tc>
        <w:tc>
          <w:tcPr>
            <w:tcW w:w="2105" w:type="dxa"/>
          </w:tcPr>
          <w:p w14:paraId="04EFA7E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0.03 / 0.05 / 0.1</w:t>
            </w:r>
          </w:p>
        </w:tc>
      </w:tr>
      <w:tr w14:paraId="1153442C">
        <w:trPr>
          <w:jc w:val="center"/>
        </w:trPr>
        <w:tc>
          <w:tcPr>
            <w:tcW w:w="1500" w:type="dxa"/>
          </w:tcPr>
          <w:p w14:paraId="05BB4B5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subsample</w:t>
            </w:r>
          </w:p>
        </w:tc>
        <w:tc>
          <w:tcPr>
            <w:tcW w:w="2600" w:type="dxa"/>
          </w:tcPr>
          <w:p w14:paraId="7D4301E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每棵树随机抽多少比例的人</w:t>
            </w:r>
          </w:p>
        </w:tc>
        <w:tc>
          <w:tcPr>
            <w:tcW w:w="2100" w:type="dxa"/>
          </w:tcPr>
          <w:p w14:paraId="1E659E6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 / 0.8 / 1.0</w:t>
            </w:r>
          </w:p>
        </w:tc>
        <w:tc>
          <w:tcPr>
            <w:tcW w:w="2105" w:type="dxa"/>
          </w:tcPr>
          <w:p w14:paraId="2D29C40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 / 0.8 / 1.0</w:t>
            </w:r>
          </w:p>
        </w:tc>
      </w:tr>
      <w:tr w14:paraId="63063808">
        <w:trPr>
          <w:jc w:val="center"/>
        </w:trPr>
        <w:tc>
          <w:tcPr>
            <w:tcW w:w="1500" w:type="dxa"/>
          </w:tcPr>
          <w:p w14:paraId="1607579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colsample_bytree</w:t>
            </w:r>
          </w:p>
        </w:tc>
        <w:tc>
          <w:tcPr>
            <w:tcW w:w="2600" w:type="dxa"/>
          </w:tcPr>
          <w:p w14:paraId="36118D9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每棵树随机看多少比例的特征</w:t>
            </w:r>
          </w:p>
        </w:tc>
        <w:tc>
          <w:tcPr>
            <w:tcW w:w="2100" w:type="dxa"/>
          </w:tcPr>
          <w:p w14:paraId="426D0B6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 / 0.8 / 1.0</w:t>
            </w:r>
          </w:p>
        </w:tc>
        <w:tc>
          <w:tcPr>
            <w:tcW w:w="2105" w:type="dxa"/>
          </w:tcPr>
          <w:p w14:paraId="0D28F64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 / 0.8 / 1.0</w:t>
            </w:r>
          </w:p>
        </w:tc>
      </w:tr>
      <w:tr w14:paraId="692AFA74">
        <w:trPr>
          <w:jc w:val="center"/>
        </w:trPr>
        <w:tc>
          <w:tcPr>
            <w:tcW w:w="1500" w:type="dxa"/>
          </w:tcPr>
          <w:p w14:paraId="1CD7999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min_child_weight</w:t>
            </w:r>
          </w:p>
        </w:tc>
        <w:tc>
          <w:tcPr>
            <w:tcW w:w="2600" w:type="dxa"/>
          </w:tcPr>
          <w:p w14:paraId="36770B9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节点至少装多少样本才允许再分</w:t>
            </w:r>
          </w:p>
        </w:tc>
        <w:tc>
          <w:tcPr>
            <w:tcW w:w="2100" w:type="dxa"/>
          </w:tcPr>
          <w:p w14:paraId="4F9DCA6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1 / 3 / 5</w:t>
            </w:r>
          </w:p>
        </w:tc>
        <w:tc>
          <w:tcPr>
            <w:tcW w:w="2105" w:type="dxa"/>
          </w:tcPr>
          <w:p w14:paraId="4EBEF7F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—</w:t>
            </w:r>
          </w:p>
        </w:tc>
      </w:tr>
      <w:tr w14:paraId="6613B8CE">
        <w:trPr>
          <w:jc w:val="center"/>
        </w:trPr>
        <w:tc>
          <w:tcPr>
            <w:tcW w:w="1500" w:type="dxa"/>
          </w:tcPr>
          <w:p w14:paraId="095FAAA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num_leaves</w:t>
            </w:r>
          </w:p>
        </w:tc>
        <w:tc>
          <w:tcPr>
            <w:tcW w:w="2600" w:type="dxa"/>
          </w:tcPr>
          <w:p w14:paraId="636BF74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每棵树最多多少片叶子（LGB 专用）</w:t>
            </w:r>
          </w:p>
        </w:tc>
        <w:tc>
          <w:tcPr>
            <w:tcW w:w="2100" w:type="dxa"/>
          </w:tcPr>
          <w:p w14:paraId="4801202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—</w:t>
            </w:r>
          </w:p>
        </w:tc>
        <w:tc>
          <w:tcPr>
            <w:tcW w:w="2105" w:type="dxa"/>
          </w:tcPr>
          <w:p w14:paraId="0227CCB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31 / 63 / 127</w:t>
            </w:r>
          </w:p>
        </w:tc>
      </w:tr>
    </w:tbl>
    <w:p w14:paraId="2218A353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0A42E0E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2.3 调优结果</w:t>
      </w:r>
    </w:p>
    <w:p w14:paraId="3304CDD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每个模型 8 组参数、每组取 5 折平均 AUC 作为评分（完整 16 组见 outputs/W3/random_search_results.csv）：</w:t>
      </w:r>
    </w:p>
    <w:p w14:paraId="3A76A29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XGBoost 最优 0.7247：subsample=0.8、n_estimators=200、min_child_weight=3、max_depth=8、learning_rate=0.05、colsample_bytree=0.7</w:t>
      </w:r>
    </w:p>
    <w:p w14:paraId="375E68D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LightGBM 最优 0.7249：subsample=0.8、num_leaves=63、n_estimators=200、max_depth=8、learning_rate=0.05、colsample_bytree=0.7</w:t>
      </w:r>
    </w:p>
    <w:p w14:paraId="364072B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两个模型的第一名几乎打平（差距 0.0002），而且最优点都落在“树多一些（200）、深度适中（8）、小步学习（0.05）、随机抽样（0.7–0.8）”的同一片区域——说明这个方向是稳定有效的，不是碰运气。反过来看，16 组里的最差一组 AUC 也有 0.7167，与最优只差 0.008，进一步印证了“参数拧不出大空间”的判断。</w:t>
      </w:r>
    </w:p>
    <w:p w14:paraId="087BCE1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986020" cy="2149475"/>
            <wp:effectExtent l="0" t="0" r="177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B87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2｜随机搜索 16 组参数的 5 折平均 AUC（蓝=XGBoost，绿=LightGBM，红框=各模型最优；误差棒为 5 折标准差）。每组的 5 折标准差都 ≤0.0007，说明 5 次“考试”难度稳定、评分可靠。</w:t>
      </w:r>
    </w:p>
    <w:p w14:paraId="060B6BC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10BB6FA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3. 交叉验证策略（任务 5.2）</w:t>
      </w:r>
    </w:p>
    <w:p w14:paraId="67C53FE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采用 StratifiedKFold(5)：把训练集切成 5 份，轮流用其中 1 份当验证、另外 4 份训练；“Stratified”指每折的违约比例都保持与总体一致（约 20%），保证 5 次考试的难度相当。每组参数的成绩取 5 折平均 AUC。</w:t>
      </w:r>
    </w:p>
    <w:p w14:paraId="32F575D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为什么要交叉验证：单切一次验证集，成绩会受“这一次切分运气好不好”影响；切 5 份轮流考、取平均，评分更稳，也不浪费数据。16 组参数的 5 折标准差全部不超过 0.0007，说明评分本身非常稳定——调参结论因此可信。</w:t>
      </w:r>
    </w:p>
    <w:p w14:paraId="3925455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5025DE9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4. 模型集成（任务 5.3）</w:t>
      </w:r>
    </w:p>
    <w:p w14:paraId="075C7FE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集成的基本想法：一个模型可能在某类客户上判断偏保守、另一个偏激进，把多个模型的意思合起来，通常比单打独斗稳。本阶段做了两种集成，基础队员是四个：LR（线性视角）、RF（装袋树）、XGB（优化）、LGB（优化）。</w:t>
      </w:r>
    </w:p>
    <w:p w14:paraId="1E215B5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投票法（soft voting）：四个模型各输出一个违约概率，直接取平均。类比：四位分析师各给一个概率，最终取平均意见。</w:t>
      </w:r>
    </w:p>
    <w:p w14:paraId="527E942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堆叠法（stacking）：先把四个模型的预测概率当作“新特征”，再训练一个逻辑回归来综合判断。类比：教练不看原始数据，只看四个队员的结论再做最终裁决；内部用 5 折交叉验证，防止教练“背队员的答案”。</w:t>
      </w:r>
    </w:p>
    <w:p w14:paraId="6BD59ED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另外把 LightGBM 加入对比：它与 XGBoost 同属梯度提升树，训练更快，作为同族第二选手可以防止“单一实现带来的偶然偏差”。</w:t>
      </w:r>
    </w:p>
    <w:p w14:paraId="6288B930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4C8FEEE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5. 优化后模型再训练与评估（任务 5.4）</w:t>
      </w:r>
    </w:p>
    <w:p w14:paraId="1697EB10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全部 7 个模型在验证集（159,700 人，模型训练时没见过）上复测，统一用 0.5 作为判别阈值，结果如下：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81"/>
        <w:gridCol w:w="1281"/>
        <w:gridCol w:w="1281"/>
        <w:gridCol w:w="1281"/>
        <w:gridCol w:w="1281"/>
      </w:tblGrid>
      <w:tr w14:paraId="3C5041BE">
        <w:trPr>
          <w:jc w:val="center"/>
        </w:trPr>
        <w:tc>
          <w:tcPr>
            <w:tcW w:w="1900" w:type="dxa"/>
          </w:tcPr>
          <w:p w14:paraId="7BD1B6A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模型</w:t>
            </w:r>
          </w:p>
        </w:tc>
        <w:tc>
          <w:tcPr>
            <w:tcW w:w="1281" w:type="dxa"/>
          </w:tcPr>
          <w:p w14:paraId="01E0E4C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准确率</w:t>
            </w:r>
          </w:p>
        </w:tc>
        <w:tc>
          <w:tcPr>
            <w:tcW w:w="1281" w:type="dxa"/>
          </w:tcPr>
          <w:p w14:paraId="0781620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精确率</w:t>
            </w:r>
          </w:p>
        </w:tc>
        <w:tc>
          <w:tcPr>
            <w:tcW w:w="1281" w:type="dxa"/>
          </w:tcPr>
          <w:p w14:paraId="0FAAFBD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召回率</w:t>
            </w:r>
          </w:p>
        </w:tc>
        <w:tc>
          <w:tcPr>
            <w:tcW w:w="1281" w:type="dxa"/>
          </w:tcPr>
          <w:p w14:paraId="2D91A6A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F1</w:t>
            </w:r>
          </w:p>
        </w:tc>
        <w:tc>
          <w:tcPr>
            <w:tcW w:w="1281" w:type="dxa"/>
          </w:tcPr>
          <w:p w14:paraId="158DAC9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AUC</w:t>
            </w:r>
          </w:p>
        </w:tc>
      </w:tr>
      <w:tr w14:paraId="6614F260">
        <w:trPr>
          <w:jc w:val="center"/>
        </w:trPr>
        <w:tc>
          <w:tcPr>
            <w:tcW w:w="1900" w:type="dxa"/>
          </w:tcPr>
          <w:p w14:paraId="35AF565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LR（基线）</w:t>
            </w:r>
          </w:p>
        </w:tc>
        <w:tc>
          <w:tcPr>
            <w:tcW w:w="1281" w:type="dxa"/>
          </w:tcPr>
          <w:p w14:paraId="34DEE25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0.6582</w:t>
            </w:r>
          </w:p>
        </w:tc>
        <w:tc>
          <w:tcPr>
            <w:tcW w:w="1281" w:type="dxa"/>
          </w:tcPr>
          <w:p w14:paraId="2FCDD42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0.3241</w:t>
            </w:r>
          </w:p>
        </w:tc>
        <w:tc>
          <w:tcPr>
            <w:tcW w:w="1281" w:type="dxa"/>
          </w:tcPr>
          <w:p w14:paraId="182819C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0.6572</w:t>
            </w:r>
          </w:p>
        </w:tc>
        <w:tc>
          <w:tcPr>
            <w:tcW w:w="1281" w:type="dxa"/>
          </w:tcPr>
          <w:p w14:paraId="6CA1235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0.4341</w:t>
            </w:r>
          </w:p>
        </w:tc>
        <w:tc>
          <w:tcPr>
            <w:tcW w:w="1281" w:type="dxa"/>
          </w:tcPr>
          <w:p w14:paraId="782A59C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0.7189</w:t>
            </w:r>
          </w:p>
        </w:tc>
      </w:tr>
      <w:tr w14:paraId="56537C69">
        <w:trPr>
          <w:jc w:val="center"/>
        </w:trPr>
        <w:tc>
          <w:tcPr>
            <w:tcW w:w="1900" w:type="dxa"/>
          </w:tcPr>
          <w:p w14:paraId="34DD72B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RF（基线）</w:t>
            </w:r>
          </w:p>
        </w:tc>
        <w:tc>
          <w:tcPr>
            <w:tcW w:w="1281" w:type="dxa"/>
          </w:tcPr>
          <w:p w14:paraId="360F6C9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0.6507</w:t>
            </w:r>
          </w:p>
        </w:tc>
        <w:tc>
          <w:tcPr>
            <w:tcW w:w="1281" w:type="dxa"/>
          </w:tcPr>
          <w:p w14:paraId="07143F2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0.3208</w:t>
            </w:r>
          </w:p>
        </w:tc>
        <w:tc>
          <w:tcPr>
            <w:tcW w:w="1281" w:type="dxa"/>
          </w:tcPr>
          <w:p w14:paraId="7B020BE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0.6723</w:t>
            </w:r>
          </w:p>
        </w:tc>
        <w:tc>
          <w:tcPr>
            <w:tcW w:w="1281" w:type="dxa"/>
          </w:tcPr>
          <w:p w14:paraId="44F0680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0.4343</w:t>
            </w:r>
          </w:p>
        </w:tc>
        <w:tc>
          <w:tcPr>
            <w:tcW w:w="1281" w:type="dxa"/>
          </w:tcPr>
          <w:p w14:paraId="1250C18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0.7198</w:t>
            </w:r>
          </w:p>
        </w:tc>
      </w:tr>
      <w:tr w14:paraId="471AC3F9">
        <w:trPr>
          <w:jc w:val="center"/>
        </w:trPr>
        <w:tc>
          <w:tcPr>
            <w:tcW w:w="1900" w:type="dxa"/>
          </w:tcPr>
          <w:p w14:paraId="79077407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</w:t>
            </w:r>
          </w:p>
        </w:tc>
        <w:tc>
          <w:tcPr>
            <w:tcW w:w="1281" w:type="dxa"/>
          </w:tcPr>
          <w:p w14:paraId="408ACD9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0.6559</w:t>
            </w:r>
          </w:p>
        </w:tc>
        <w:tc>
          <w:tcPr>
            <w:tcW w:w="1281" w:type="dxa"/>
          </w:tcPr>
          <w:p w14:paraId="3D7B14E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0.3259</w:t>
            </w:r>
          </w:p>
        </w:tc>
        <w:tc>
          <w:tcPr>
            <w:tcW w:w="1281" w:type="dxa"/>
          </w:tcPr>
          <w:p w14:paraId="09489FA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0.6785</w:t>
            </w:r>
          </w:p>
        </w:tc>
        <w:tc>
          <w:tcPr>
            <w:tcW w:w="1281" w:type="dxa"/>
          </w:tcPr>
          <w:p w14:paraId="2B49878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0.4403</w:t>
            </w:r>
          </w:p>
        </w:tc>
        <w:tc>
          <w:tcPr>
            <w:tcW w:w="1281" w:type="dxa"/>
          </w:tcPr>
          <w:p w14:paraId="283EF04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0.7276</w:t>
            </w:r>
          </w:p>
        </w:tc>
      </w:tr>
      <w:tr w14:paraId="53C73C63">
        <w:trPr>
          <w:jc w:val="center"/>
        </w:trPr>
        <w:tc>
          <w:tcPr>
            <w:tcW w:w="1900" w:type="dxa"/>
          </w:tcPr>
          <w:p w14:paraId="3AFB1E3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XGB（优化）</w:t>
            </w:r>
          </w:p>
        </w:tc>
        <w:tc>
          <w:tcPr>
            <w:tcW w:w="1281" w:type="dxa"/>
          </w:tcPr>
          <w:p w14:paraId="7FAF4FC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0.6636</w:t>
            </w:r>
          </w:p>
        </w:tc>
        <w:tc>
          <w:tcPr>
            <w:tcW w:w="1281" w:type="dxa"/>
          </w:tcPr>
          <w:p w14:paraId="26CC5AD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0.3301</w:t>
            </w:r>
          </w:p>
        </w:tc>
        <w:tc>
          <w:tcPr>
            <w:tcW w:w="1281" w:type="dxa"/>
          </w:tcPr>
          <w:p w14:paraId="4149EE6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0.6672</w:t>
            </w:r>
          </w:p>
        </w:tc>
        <w:tc>
          <w:tcPr>
            <w:tcW w:w="1281" w:type="dxa"/>
          </w:tcPr>
          <w:p w14:paraId="3EC7306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0.4417</w:t>
            </w:r>
          </w:p>
        </w:tc>
        <w:tc>
          <w:tcPr>
            <w:tcW w:w="1281" w:type="dxa"/>
          </w:tcPr>
          <w:p w14:paraId="5E38FFD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0.7286</w:t>
            </w:r>
          </w:p>
        </w:tc>
      </w:tr>
      <w:tr w14:paraId="1532B004">
        <w:trPr>
          <w:jc w:val="center"/>
        </w:trPr>
        <w:tc>
          <w:tcPr>
            <w:tcW w:w="1900" w:type="dxa"/>
          </w:tcPr>
          <w:p w14:paraId="5731E39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Voting（集成）</w:t>
            </w:r>
          </w:p>
        </w:tc>
        <w:tc>
          <w:tcPr>
            <w:tcW w:w="1281" w:type="dxa"/>
          </w:tcPr>
          <w:p w14:paraId="552E21C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0.6601</w:t>
            </w:r>
          </w:p>
        </w:tc>
        <w:tc>
          <w:tcPr>
            <w:tcW w:w="1281" w:type="dxa"/>
          </w:tcPr>
          <w:p w14:paraId="5C08AEB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0.3280</w:t>
            </w:r>
          </w:p>
        </w:tc>
        <w:tc>
          <w:tcPr>
            <w:tcW w:w="1281" w:type="dxa"/>
          </w:tcPr>
          <w:p w14:paraId="739A6FA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0.6708</w:t>
            </w:r>
          </w:p>
        </w:tc>
        <w:tc>
          <w:tcPr>
            <w:tcW w:w="1281" w:type="dxa"/>
          </w:tcPr>
          <w:p w14:paraId="0A7D87F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0.4405</w:t>
            </w:r>
          </w:p>
        </w:tc>
        <w:tc>
          <w:tcPr>
            <w:tcW w:w="1281" w:type="dxa"/>
          </w:tcPr>
          <w:p w14:paraId="4AFDFA5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0.7276</w:t>
            </w:r>
          </w:p>
        </w:tc>
      </w:tr>
      <w:tr w14:paraId="1C3A5398">
        <w:trPr>
          <w:jc w:val="center"/>
        </w:trPr>
        <w:tc>
          <w:tcPr>
            <w:tcW w:w="1900" w:type="dxa"/>
          </w:tcPr>
          <w:p w14:paraId="02BFA12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LGB（优化）</w:t>
            </w:r>
          </w:p>
        </w:tc>
        <w:tc>
          <w:tcPr>
            <w:tcW w:w="1281" w:type="dxa"/>
          </w:tcPr>
          <w:p w14:paraId="6C095BE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0.6566</w:t>
            </w:r>
          </w:p>
        </w:tc>
        <w:tc>
          <w:tcPr>
            <w:tcW w:w="1281" w:type="dxa"/>
          </w:tcPr>
          <w:p w14:paraId="611242E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0.3271</w:t>
            </w:r>
          </w:p>
        </w:tc>
        <w:tc>
          <w:tcPr>
            <w:tcW w:w="1281" w:type="dxa"/>
          </w:tcPr>
          <w:p w14:paraId="0CB9C11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0.6825</w:t>
            </w:r>
          </w:p>
        </w:tc>
        <w:tc>
          <w:tcPr>
            <w:tcW w:w="1281" w:type="dxa"/>
          </w:tcPr>
          <w:p w14:paraId="3D0EFE5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0.4422</w:t>
            </w:r>
          </w:p>
        </w:tc>
        <w:tc>
          <w:tcPr>
            <w:tcW w:w="1281" w:type="dxa"/>
          </w:tcPr>
          <w:p w14:paraId="276F4DC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0.7294</w:t>
            </w:r>
          </w:p>
        </w:tc>
      </w:tr>
      <w:tr w14:paraId="63E1354B">
        <w:trPr>
          <w:jc w:val="center"/>
        </w:trPr>
        <w:tc>
          <w:tcPr>
            <w:tcW w:w="1900" w:type="dxa"/>
          </w:tcPr>
          <w:p w14:paraId="04437FA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Stacking（集成）</w:t>
            </w:r>
          </w:p>
        </w:tc>
        <w:tc>
          <w:tcPr>
            <w:tcW w:w="1281" w:type="dxa"/>
          </w:tcPr>
          <w:p w14:paraId="5FBABB3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0.6553</w:t>
            </w:r>
          </w:p>
        </w:tc>
        <w:tc>
          <w:tcPr>
            <w:tcW w:w="1281" w:type="dxa"/>
          </w:tcPr>
          <w:p w14:paraId="3DFB401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0.3267</w:t>
            </w:r>
          </w:p>
        </w:tc>
        <w:tc>
          <w:tcPr>
            <w:tcW w:w="1281" w:type="dxa"/>
          </w:tcPr>
          <w:p w14:paraId="0B2D1AD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0.6860</w:t>
            </w:r>
          </w:p>
        </w:tc>
        <w:tc>
          <w:tcPr>
            <w:tcW w:w="1281" w:type="dxa"/>
          </w:tcPr>
          <w:p w14:paraId="2664D06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0.4426</w:t>
            </w:r>
          </w:p>
        </w:tc>
        <w:tc>
          <w:tcPr>
            <w:tcW w:w="1281" w:type="dxa"/>
          </w:tcPr>
          <w:p w14:paraId="0C67B36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0.7298</w:t>
            </w:r>
          </w:p>
        </w:tc>
      </w:tr>
    </w:tbl>
    <w:p w14:paraId="5CB13A3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480ACC4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bookmarkStart w:id="0" w:name="_GoBack"/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5282565" cy="2244090"/>
            <wp:effectExtent l="0" t="0" r="63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AA0BD0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3｜验证集性能对比：左图为 AUC（排序能力），虚线是 XGB 基线；右图为阈值 0.5 下的 F1。灰色=W2 基线，蓝色=调参后，橙色=集成。</w:t>
      </w:r>
    </w:p>
    <w:p w14:paraId="1B4F0D0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怎么读这张表：</w:t>
      </w:r>
    </w:p>
    <w:p w14:paraId="5703485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AUC 排序：Stacking 0.7298 ≈ LGB 0.7294 ≈ XGB（优化）0.7286 &gt; 三个基线（0.719–0.728）。最优比 XGB 基线提升约 +0.002。</w:t>
      </w:r>
    </w:p>
    <w:p w14:paraId="4E52C33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调参有效但幅度小：树模型参数对 AUC 的影响在 ±0.001 级别。这不是失败——AUC 衡量排序能力，参数优化改的是细节，改变不了特征本身的信息量。</w:t>
      </w:r>
    </w:p>
    <w:p w14:paraId="1538F42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集成略高于单模型但很接近：四个队员里三个是“树亲戚”，观点相似，互补空间有限。要真正拉开差距，靠的是更好的特征，而不是把模型叠得更多层。</w:t>
      </w:r>
    </w:p>
    <w:p w14:paraId="05FDF96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阈值 0.5 下精确率约 0.33：这是“宁可多抓、不肯放过”的激进策略带来的代价。阈值本质是业务取舍（严审少误伤 vs 宽进多抓坏人），阶段 6 会给出不同阈值的对照表供业务方选择，而不是由模型单方面决定。</w:t>
      </w:r>
    </w:p>
    <w:p w14:paraId="09380EA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392A0D8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5.5 补充实验：模型之间的差距是真是假（显著性检验）</w:t>
      </w:r>
    </w:p>
    <w:p w14:paraId="76A039D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为什么做：七个模型的 AUC 差距很小——最大差距 0.011，LGB（优化）与 Stacking 只差 0.0004。这么小的差距，可能是真实的实力差异，也可能只是“这批验证样本的运气”。所以在模型对比之后补一步统计检验，回答“这个差距究竟显不显著”。</w:t>
      </w:r>
    </w:p>
    <w:p w14:paraId="7145BEE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怎么做：在同一批验证集样本（159,700 人）上做配对比较，两种方法互相印证：</w:t>
      </w:r>
    </w:p>
    <w:p w14:paraId="211F983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DeLong 检验：专门用于比较两个模型 AUC 的配对检验（风控、医学里比较评分模型的标准做法）。因为两个模型判的是同一批人，误差高度相关，配对检验比普通检验灵敏得多。</w:t>
      </w:r>
    </w:p>
    <w:p w14:paraId="2B5B732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Bootstrap 重抽样：把验证集有放回地重抽 1,000 次，每次重算各模型的 AUC，看差值的分布——给出 95% 置信区间，与 DeLong 结果对照。</w:t>
      </w:r>
    </w:p>
    <w:p w14:paraId="7F20317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结果（10 组两两对比，9 组显著）：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1600"/>
        <w:gridCol w:w="1700"/>
        <w:gridCol w:w="1605"/>
      </w:tblGrid>
      <w:tr w14:paraId="7D4D003D">
        <w:trPr>
          <w:jc w:val="center"/>
        </w:trPr>
        <w:tc>
          <w:tcPr>
            <w:tcW w:w="3400" w:type="dxa"/>
          </w:tcPr>
          <w:p w14:paraId="4A5C300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对比（A vs B）</w:t>
            </w:r>
          </w:p>
        </w:tc>
        <w:tc>
          <w:tcPr>
            <w:tcW w:w="1600" w:type="dxa"/>
          </w:tcPr>
          <w:p w14:paraId="2B64BA3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AUC 差值</w:t>
            </w:r>
          </w:p>
        </w:tc>
        <w:tc>
          <w:tcPr>
            <w:tcW w:w="1700" w:type="dxa"/>
          </w:tcPr>
          <w:p w14:paraId="7A2ECC2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DeLong p 值</w:t>
            </w:r>
          </w:p>
        </w:tc>
        <w:tc>
          <w:tcPr>
            <w:tcW w:w="1605" w:type="dxa"/>
          </w:tcPr>
          <w:p w14:paraId="5E8025B7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是否显著</w:t>
            </w:r>
          </w:p>
        </w:tc>
      </w:tr>
      <w:tr w14:paraId="4A81E3E2">
        <w:trPr>
          <w:jc w:val="center"/>
        </w:trPr>
        <w:tc>
          <w:tcPr>
            <w:tcW w:w="3400" w:type="dxa"/>
          </w:tcPr>
          <w:p w14:paraId="151ADDF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LGB（优化） vs Voting</w:t>
            </w:r>
          </w:p>
        </w:tc>
        <w:tc>
          <w:tcPr>
            <w:tcW w:w="1600" w:type="dxa"/>
          </w:tcPr>
          <w:p w14:paraId="06187A2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+0.0018</w:t>
            </w:r>
          </w:p>
        </w:tc>
        <w:tc>
          <w:tcPr>
            <w:tcW w:w="1700" w:type="dxa"/>
          </w:tcPr>
          <w:p w14:paraId="47A34CA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&lt;0.001</w:t>
            </w:r>
          </w:p>
        </w:tc>
        <w:tc>
          <w:tcPr>
            <w:tcW w:w="1605" w:type="dxa"/>
          </w:tcPr>
          <w:p w14:paraId="00A13B1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09B2AD50">
        <w:trPr>
          <w:jc w:val="center"/>
        </w:trPr>
        <w:tc>
          <w:tcPr>
            <w:tcW w:w="3400" w:type="dxa"/>
          </w:tcPr>
          <w:p w14:paraId="622C162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XGB（优化） vs Voting</w:t>
            </w:r>
          </w:p>
        </w:tc>
        <w:tc>
          <w:tcPr>
            <w:tcW w:w="1600" w:type="dxa"/>
          </w:tcPr>
          <w:p w14:paraId="26CC50C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+0.0010</w:t>
            </w:r>
          </w:p>
        </w:tc>
        <w:tc>
          <w:tcPr>
            <w:tcW w:w="1700" w:type="dxa"/>
          </w:tcPr>
          <w:p w14:paraId="50DF53D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0.0002</w:t>
            </w:r>
          </w:p>
        </w:tc>
        <w:tc>
          <w:tcPr>
            <w:tcW w:w="1605" w:type="dxa"/>
          </w:tcPr>
          <w:p w14:paraId="22D7C49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39EF5E68">
        <w:trPr>
          <w:jc w:val="center"/>
        </w:trPr>
        <w:tc>
          <w:tcPr>
            <w:tcW w:w="3400" w:type="dxa"/>
          </w:tcPr>
          <w:p w14:paraId="12C5672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 vs XGB（优化）</w:t>
            </w:r>
          </w:p>
        </w:tc>
        <w:tc>
          <w:tcPr>
            <w:tcW w:w="1600" w:type="dxa"/>
          </w:tcPr>
          <w:p w14:paraId="30D3A9F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-0.0010</w:t>
            </w:r>
          </w:p>
        </w:tc>
        <w:tc>
          <w:tcPr>
            <w:tcW w:w="1700" w:type="dxa"/>
          </w:tcPr>
          <w:p w14:paraId="1A68853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0.0009</w:t>
            </w:r>
          </w:p>
        </w:tc>
        <w:tc>
          <w:tcPr>
            <w:tcW w:w="1605" w:type="dxa"/>
          </w:tcPr>
          <w:p w14:paraId="72F6E19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3C0649C8">
        <w:trPr>
          <w:jc w:val="center"/>
        </w:trPr>
        <w:tc>
          <w:tcPr>
            <w:tcW w:w="3400" w:type="dxa"/>
          </w:tcPr>
          <w:p w14:paraId="1EF461F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XGB（优化） vs LGB（优化）</w:t>
            </w:r>
          </w:p>
        </w:tc>
        <w:tc>
          <w:tcPr>
            <w:tcW w:w="1600" w:type="dxa"/>
          </w:tcPr>
          <w:p w14:paraId="510F9F5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-0.0008</w:t>
            </w:r>
          </w:p>
        </w:tc>
        <w:tc>
          <w:tcPr>
            <w:tcW w:w="1700" w:type="dxa"/>
          </w:tcPr>
          <w:p w14:paraId="1187D76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0.0013</w:t>
            </w:r>
          </w:p>
        </w:tc>
        <w:tc>
          <w:tcPr>
            <w:tcW w:w="1605" w:type="dxa"/>
          </w:tcPr>
          <w:p w14:paraId="4BF0F7F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2C42A69D">
        <w:trPr>
          <w:jc w:val="center"/>
        </w:trPr>
        <w:tc>
          <w:tcPr>
            <w:tcW w:w="3400" w:type="dxa"/>
          </w:tcPr>
          <w:p w14:paraId="16EA620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LGB（优化） vs Stacking</w:t>
            </w:r>
          </w:p>
        </w:tc>
        <w:tc>
          <w:tcPr>
            <w:tcW w:w="1600" w:type="dxa"/>
          </w:tcPr>
          <w:p w14:paraId="6283F5C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-0.0004</w:t>
            </w:r>
          </w:p>
        </w:tc>
        <w:tc>
          <w:tcPr>
            <w:tcW w:w="1700" w:type="dxa"/>
          </w:tcPr>
          <w:p w14:paraId="71E0345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0.0080</w:t>
            </w:r>
          </w:p>
        </w:tc>
        <w:tc>
          <w:tcPr>
            <w:tcW w:w="1605" w:type="dxa"/>
          </w:tcPr>
          <w:p w14:paraId="3C440B39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7299A79C">
        <w:trPr>
          <w:jc w:val="center"/>
        </w:trPr>
        <w:tc>
          <w:tcPr>
            <w:tcW w:w="3400" w:type="dxa"/>
          </w:tcPr>
          <w:p w14:paraId="4CB57E0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XGB（优化） vs Stacking</w:t>
            </w:r>
          </w:p>
        </w:tc>
        <w:tc>
          <w:tcPr>
            <w:tcW w:w="1600" w:type="dxa"/>
          </w:tcPr>
          <w:p w14:paraId="79A0534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-0.0013</w:t>
            </w:r>
          </w:p>
        </w:tc>
        <w:tc>
          <w:tcPr>
            <w:tcW w:w="1700" w:type="dxa"/>
          </w:tcPr>
          <w:p w14:paraId="12D47B6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&lt;0.001</w:t>
            </w:r>
          </w:p>
        </w:tc>
        <w:tc>
          <w:tcPr>
            <w:tcW w:w="1605" w:type="dxa"/>
          </w:tcPr>
          <w:p w14:paraId="6E5F309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3CEBFE60">
        <w:trPr>
          <w:jc w:val="center"/>
        </w:trPr>
        <w:tc>
          <w:tcPr>
            <w:tcW w:w="3400" w:type="dxa"/>
          </w:tcPr>
          <w:p w14:paraId="57C0FC7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 vs LGB（优化）</w:t>
            </w:r>
          </w:p>
        </w:tc>
        <w:tc>
          <w:tcPr>
            <w:tcW w:w="1600" w:type="dxa"/>
          </w:tcPr>
          <w:p w14:paraId="48F5D5F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-0.0018</w:t>
            </w:r>
          </w:p>
        </w:tc>
        <w:tc>
          <w:tcPr>
            <w:tcW w:w="1700" w:type="dxa"/>
          </w:tcPr>
          <w:p w14:paraId="0757A16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&lt;0.001</w:t>
            </w:r>
          </w:p>
        </w:tc>
        <w:tc>
          <w:tcPr>
            <w:tcW w:w="1605" w:type="dxa"/>
          </w:tcPr>
          <w:p w14:paraId="1FBF5D5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43AD7496">
        <w:trPr>
          <w:jc w:val="center"/>
        </w:trPr>
        <w:tc>
          <w:tcPr>
            <w:tcW w:w="3400" w:type="dxa"/>
          </w:tcPr>
          <w:p w14:paraId="0947BFD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 vs Stacking</w:t>
            </w:r>
          </w:p>
        </w:tc>
        <w:tc>
          <w:tcPr>
            <w:tcW w:w="1600" w:type="dxa"/>
          </w:tcPr>
          <w:p w14:paraId="14D3A2D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-0.0022</w:t>
            </w:r>
          </w:p>
        </w:tc>
        <w:tc>
          <w:tcPr>
            <w:tcW w:w="1700" w:type="dxa"/>
          </w:tcPr>
          <w:p w14:paraId="4E154E77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&lt;0.001</w:t>
            </w:r>
          </w:p>
        </w:tc>
        <w:tc>
          <w:tcPr>
            <w:tcW w:w="1605" w:type="dxa"/>
          </w:tcPr>
          <w:p w14:paraId="6504997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04575BA8">
        <w:trPr>
          <w:jc w:val="center"/>
        </w:trPr>
        <w:tc>
          <w:tcPr>
            <w:tcW w:w="3400" w:type="dxa"/>
          </w:tcPr>
          <w:p w14:paraId="61F8E4D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Voting vs Stacking</w:t>
            </w:r>
          </w:p>
        </w:tc>
        <w:tc>
          <w:tcPr>
            <w:tcW w:w="1600" w:type="dxa"/>
          </w:tcPr>
          <w:p w14:paraId="7D75642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-0.0022</w:t>
            </w:r>
          </w:p>
        </w:tc>
        <w:tc>
          <w:tcPr>
            <w:tcW w:w="1700" w:type="dxa"/>
          </w:tcPr>
          <w:p w14:paraId="338D777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&lt;0.001</w:t>
            </w:r>
          </w:p>
        </w:tc>
        <w:tc>
          <w:tcPr>
            <w:tcW w:w="1605" w:type="dxa"/>
          </w:tcPr>
          <w:p w14:paraId="76243B6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是</w:t>
            </w:r>
          </w:p>
        </w:tc>
      </w:tr>
      <w:tr w14:paraId="527A218B">
        <w:trPr>
          <w:jc w:val="center"/>
        </w:trPr>
        <w:tc>
          <w:tcPr>
            <w:tcW w:w="3400" w:type="dxa"/>
          </w:tcPr>
          <w:p w14:paraId="5743351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XGB（基线） vs Voting</w:t>
            </w:r>
          </w:p>
        </w:tc>
        <w:tc>
          <w:tcPr>
            <w:tcW w:w="1600" w:type="dxa"/>
          </w:tcPr>
          <w:p w14:paraId="25B5A10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0.0000</w:t>
            </w:r>
          </w:p>
        </w:tc>
        <w:tc>
          <w:tcPr>
            <w:tcW w:w="1700" w:type="dxa"/>
          </w:tcPr>
          <w:p w14:paraId="0379B05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0.9643</w:t>
            </w:r>
          </w:p>
        </w:tc>
        <w:tc>
          <w:tcPr>
            <w:tcW w:w="1605" w:type="dxa"/>
          </w:tcPr>
          <w:p w14:paraId="779B301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否</w:t>
            </w:r>
          </w:p>
        </w:tc>
      </w:tr>
    </w:tbl>
    <w:p w14:paraId="42257A93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0D65F6E7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4262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426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4A1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4｜各组 AUC 差值的 Bootstrap 95% 置信区间。横线不跨 0 = 差异显著；唯一跨 0 的一组是 XGB（基线）与 Voting。</w:t>
      </w:r>
    </w:p>
    <w:p w14:paraId="26EC70B2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怎么读这个结果：</w:t>
      </w:r>
    </w:p>
    <w:p w14:paraId="085B0D0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配对检验非常灵敏：两个模型对同一批人打分，判断高度相关（相关系数约 0.95），这种相关性把随机噪声抵消掉一大块，所以 0.0004 这样的小差距也能测出来。</w:t>
      </w:r>
    </w:p>
    <w:p w14:paraId="058A44F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结论不是“分不出高下”，而是：差距是真的，但小到不值得为它多付代价。</w:t>
      </w:r>
    </w:p>
    <w:p w14:paraId="015548A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最关键的对比是 LGB（优化）vs Stacking（集成）：AUC 差 0.0004（显著），但 Stacking 预测耗时 249 秒、LGB 只要 6 秒，约 40 倍。多花 40 倍算力换 0.0004 的 AUC，业务上不划算，</w:t>
      </w:r>
      <w:r>
        <w:rPr>
          <w:rFonts w:ascii="verdana" w:hAnsi="verdana" w:eastAsia="宋体"/>
          <w:b w:val="0"/>
          <w:bCs/>
          <w:sz w:val="16"/>
          <w:highlight w:val="yellow"/>
        </w:rPr>
        <w:t>因此最终模型选 LGB（优化）</w:t>
      </w:r>
      <w:r>
        <w:rPr>
          <w:rFonts w:ascii="verdana" w:hAnsi="verdana" w:eastAsia="宋体"/>
          <w:b w:val="0"/>
          <w:bCs/>
          <w:sz w:val="16"/>
        </w:rPr>
        <w:t>。</w:t>
      </w:r>
    </w:p>
    <w:p w14:paraId="1EA1D0C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另一个有价值的“不显著”：XGB（基线）vs Voting，差值 0.0000、p=0.9643——投票集成完全没有带来增益，进一步说明同族模型的集成空间有限。</w:t>
      </w:r>
    </w:p>
    <w:p w14:paraId="6556361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一句话总结：统计显著不等于业务重要。显著性检验帮我们把“真实差异”和“抽样噪声”分开；但选哪个模型，最终还要看成本、可解释性和上线维护的难度。</w:t>
      </w:r>
    </w:p>
    <w:p w14:paraId="68BFC04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4CC42DB8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6. SHAP 特征归因（模型解释）</w:t>
      </w:r>
    </w:p>
    <w:p w14:paraId="7573047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用什么解释：SHAP 是当前主流的模型解释方法，思路是“把每个特征对这一次预测的贡献算清楚”。类比：把模型对某个人的判断拆成一笔一笔的贡献——子等级加了多少分、期限减了多少分，正负相抵就是最终结论。相比 W2 的随机森林特征重要性（只能说“这个特征用得多少”），SHAP 还能区分“把判断推向违约还是推向正常”，信息量更大。</w:t>
      </w:r>
    </w:p>
    <w:p w14:paraId="555BC0F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解释对象：最优的树模型 LGB（优化）（验证集 AUC 最高；Stacking 的最终决策器是逻辑回归，不适合直接做树解释），在训练集中随机抽 5 万行计算。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500"/>
        <w:gridCol w:w="3905"/>
      </w:tblGrid>
      <w:tr w14:paraId="0589DB6A">
        <w:trPr>
          <w:jc w:val="center"/>
        </w:trPr>
        <w:tc>
          <w:tcPr>
            <w:tcW w:w="2900" w:type="dxa"/>
          </w:tcPr>
          <w:p w14:paraId="2605566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特征</w:t>
            </w:r>
          </w:p>
        </w:tc>
        <w:tc>
          <w:tcPr>
            <w:tcW w:w="1500" w:type="dxa"/>
          </w:tcPr>
          <w:p w14:paraId="425BAF4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归因强度</w:t>
            </w:r>
          </w:p>
        </w:tc>
        <w:tc>
          <w:tcPr>
            <w:tcW w:w="3905" w:type="dxa"/>
          </w:tcPr>
          <w:p w14:paraId="6AD4969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含义</w:t>
            </w:r>
          </w:p>
        </w:tc>
      </w:tr>
      <w:tr w14:paraId="01DB45B2">
        <w:trPr>
          <w:jc w:val="center"/>
        </w:trPr>
        <w:tc>
          <w:tcPr>
            <w:tcW w:w="2900" w:type="dxa"/>
          </w:tcPr>
          <w:p w14:paraId="38B43B9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subGrade_enc</w:t>
            </w:r>
          </w:p>
        </w:tc>
        <w:tc>
          <w:tcPr>
            <w:tcW w:w="1500" w:type="dxa"/>
          </w:tcPr>
          <w:p w14:paraId="7634036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0.335</w:t>
            </w:r>
          </w:p>
        </w:tc>
        <w:tc>
          <w:tcPr>
            <w:tcW w:w="3905" w:type="dxa"/>
          </w:tcPr>
          <w:p w14:paraId="5C8775F5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贷款子等级（细分档位）</w:t>
            </w:r>
          </w:p>
        </w:tc>
      </w:tr>
      <w:tr w14:paraId="3FF2C603">
        <w:trPr>
          <w:jc w:val="center"/>
        </w:trPr>
        <w:tc>
          <w:tcPr>
            <w:tcW w:w="2900" w:type="dxa"/>
          </w:tcPr>
          <w:p w14:paraId="6A21F1F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term</w:t>
            </w:r>
          </w:p>
        </w:tc>
        <w:tc>
          <w:tcPr>
            <w:tcW w:w="1500" w:type="dxa"/>
          </w:tcPr>
          <w:p w14:paraId="3CF7AA9A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0.165</w:t>
            </w:r>
          </w:p>
        </w:tc>
        <w:tc>
          <w:tcPr>
            <w:tcW w:w="3905" w:type="dxa"/>
          </w:tcPr>
          <w:p w14:paraId="7B52F84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贷款期限</w:t>
            </w:r>
          </w:p>
        </w:tc>
      </w:tr>
      <w:tr w14:paraId="7E4F7941">
        <w:trPr>
          <w:jc w:val="center"/>
        </w:trPr>
        <w:tc>
          <w:tcPr>
            <w:tcW w:w="2900" w:type="dxa"/>
          </w:tcPr>
          <w:p w14:paraId="4AE8517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homeOwnership_1</w:t>
            </w:r>
          </w:p>
        </w:tc>
        <w:tc>
          <w:tcPr>
            <w:tcW w:w="1500" w:type="dxa"/>
          </w:tcPr>
          <w:p w14:paraId="7EE4C3AD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0.122</w:t>
            </w:r>
          </w:p>
        </w:tc>
        <w:tc>
          <w:tcPr>
            <w:tcW w:w="3905" w:type="dxa"/>
          </w:tcPr>
          <w:p w14:paraId="4B01A1B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房屋所有权（类别 1）</w:t>
            </w:r>
          </w:p>
        </w:tc>
      </w:tr>
      <w:tr w14:paraId="1ED53F8D">
        <w:trPr>
          <w:jc w:val="center"/>
        </w:trPr>
        <w:tc>
          <w:tcPr>
            <w:tcW w:w="2900" w:type="dxa"/>
          </w:tcPr>
          <w:p w14:paraId="2D53DB78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grade_enc</w:t>
            </w:r>
          </w:p>
        </w:tc>
        <w:tc>
          <w:tcPr>
            <w:tcW w:w="1500" w:type="dxa"/>
          </w:tcPr>
          <w:p w14:paraId="2D808FA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0.099</w:t>
            </w:r>
          </w:p>
        </w:tc>
        <w:tc>
          <w:tcPr>
            <w:tcW w:w="3905" w:type="dxa"/>
          </w:tcPr>
          <w:p w14:paraId="2FC469C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贷款等级</w:t>
            </w:r>
          </w:p>
        </w:tc>
      </w:tr>
      <w:tr w14:paraId="0EDDE8EF">
        <w:trPr>
          <w:jc w:val="center"/>
        </w:trPr>
        <w:tc>
          <w:tcPr>
            <w:tcW w:w="2900" w:type="dxa"/>
          </w:tcPr>
          <w:p w14:paraId="12FCEF3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fico_avg</w:t>
            </w:r>
          </w:p>
        </w:tc>
        <w:tc>
          <w:tcPr>
            <w:tcW w:w="1500" w:type="dxa"/>
          </w:tcPr>
          <w:p w14:paraId="5AF32FD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0.091</w:t>
            </w:r>
          </w:p>
        </w:tc>
        <w:tc>
          <w:tcPr>
            <w:tcW w:w="3905" w:type="dxa"/>
          </w:tcPr>
          <w:p w14:paraId="60E6585F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FICO 信用分（上下限均值，W2 新建）</w:t>
            </w:r>
          </w:p>
        </w:tc>
      </w:tr>
      <w:tr w14:paraId="637C4A84">
        <w:trPr>
          <w:jc w:val="center"/>
        </w:trPr>
        <w:tc>
          <w:tcPr>
            <w:tcW w:w="2900" w:type="dxa"/>
          </w:tcPr>
          <w:p w14:paraId="0234B47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regionCode_enc</w:t>
            </w:r>
          </w:p>
        </w:tc>
        <w:tc>
          <w:tcPr>
            <w:tcW w:w="1500" w:type="dxa"/>
          </w:tcPr>
          <w:p w14:paraId="10BBDB7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0.086</w:t>
            </w:r>
          </w:p>
        </w:tc>
        <w:tc>
          <w:tcPr>
            <w:tcW w:w="3905" w:type="dxa"/>
          </w:tcPr>
          <w:p w14:paraId="4BABB58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地区编码</w:t>
            </w:r>
          </w:p>
        </w:tc>
      </w:tr>
      <w:tr w14:paraId="6B2EEC1D">
        <w:trPr>
          <w:jc w:val="center"/>
        </w:trPr>
        <w:tc>
          <w:tcPr>
            <w:tcW w:w="2900" w:type="dxa"/>
          </w:tcPr>
          <w:p w14:paraId="08E76F9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n14</w:t>
            </w:r>
          </w:p>
        </w:tc>
        <w:tc>
          <w:tcPr>
            <w:tcW w:w="1500" w:type="dxa"/>
          </w:tcPr>
          <w:p w14:paraId="7536D2AC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0.083</w:t>
            </w:r>
          </w:p>
        </w:tc>
        <w:tc>
          <w:tcPr>
            <w:tcW w:w="3905" w:type="dxa"/>
          </w:tcPr>
          <w:p w14:paraId="34C7D1A6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匿名行为计数特征</w:t>
            </w:r>
          </w:p>
        </w:tc>
      </w:tr>
      <w:tr w14:paraId="3473F26D">
        <w:trPr>
          <w:jc w:val="center"/>
        </w:trPr>
        <w:tc>
          <w:tcPr>
            <w:tcW w:w="2900" w:type="dxa"/>
          </w:tcPr>
          <w:p w14:paraId="373781F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interestRate</w:t>
            </w:r>
          </w:p>
        </w:tc>
        <w:tc>
          <w:tcPr>
            <w:tcW w:w="1500" w:type="dxa"/>
          </w:tcPr>
          <w:p w14:paraId="39E09774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0.077</w:t>
            </w:r>
          </w:p>
        </w:tc>
        <w:tc>
          <w:tcPr>
            <w:tcW w:w="3905" w:type="dxa"/>
          </w:tcPr>
          <w:p w14:paraId="22D52E82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贷款利率</w:t>
            </w:r>
          </w:p>
        </w:tc>
      </w:tr>
      <w:tr w14:paraId="15C34304">
        <w:trPr>
          <w:jc w:val="center"/>
        </w:trPr>
        <w:tc>
          <w:tcPr>
            <w:tcW w:w="2900" w:type="dxa"/>
          </w:tcPr>
          <w:p w14:paraId="50BEE74B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dti</w:t>
            </w:r>
          </w:p>
        </w:tc>
        <w:tc>
          <w:tcPr>
            <w:tcW w:w="1500" w:type="dxa"/>
          </w:tcPr>
          <w:p w14:paraId="2797761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0.077</w:t>
            </w:r>
          </w:p>
        </w:tc>
        <w:tc>
          <w:tcPr>
            <w:tcW w:w="3905" w:type="dxa"/>
          </w:tcPr>
          <w:p w14:paraId="155C1883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债务收入比</w:t>
            </w:r>
          </w:p>
        </w:tc>
      </w:tr>
      <w:tr w14:paraId="57EA3360">
        <w:trPr>
          <w:jc w:val="center"/>
        </w:trPr>
        <w:tc>
          <w:tcPr>
            <w:tcW w:w="2900" w:type="dxa"/>
          </w:tcPr>
          <w:p w14:paraId="10AECC7E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installment_income_ratio</w:t>
            </w:r>
          </w:p>
        </w:tc>
        <w:tc>
          <w:tcPr>
            <w:tcW w:w="1500" w:type="dxa"/>
          </w:tcPr>
          <w:p w14:paraId="07431511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0.076</w:t>
            </w:r>
          </w:p>
        </w:tc>
        <w:tc>
          <w:tcPr>
            <w:tcW w:w="3905" w:type="dxa"/>
          </w:tcPr>
          <w:p w14:paraId="17B8C1A0">
            <w:pPr>
              <w:spacing w:before="20" w:after="20" w:line="240" w:lineRule="auto"/>
              <w:jc w:val="left"/>
              <w:rPr>
                <w:rFonts w:ascii="verdana" w:hAnsi="verdana" w:eastAsia="宋体"/>
                <w:b w:val="0"/>
                <w:bCs/>
                <w:sz w:val="16"/>
              </w:rPr>
            </w:pPr>
            <w:r>
              <w:rPr>
                <w:rFonts w:ascii="verdana" w:hAnsi="verdana" w:eastAsia="宋体"/>
                <w:b w:val="0"/>
                <w:bCs/>
                <w:sz w:val="16"/>
              </w:rPr>
              <w:t>月供收入比（W2 新建）</w:t>
            </w:r>
          </w:p>
        </w:tc>
      </w:tr>
    </w:tbl>
    <w:p w14:paraId="1D5877A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3D6C5D9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/>
          <w:b w:val="0"/>
          <w:bCs/>
          <w:sz w:val="16"/>
        </w:rPr>
        <w:drawing>
          <wp:inline distT="0" distB="0" distL="114300" distR="114300">
            <wp:extent cx="4855210" cy="5826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58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0A1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图 5｜SHAP 全局归因（取前 20 个特征）。每个点是一位客户，横轴是 SHAP 值（向右=把判断推向违约），颜色代表该特征取值高低（红=高，蓝=低）。</w:t>
      </w:r>
    </w:p>
    <w:p w14:paraId="0A62815E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解读：</w:t>
      </w:r>
    </w:p>
    <w:p w14:paraId="21A056D0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头两名（子等级 + 期限）合计约贡献 0.5，贷款条件本身主导模型判断，与 W1 的 EDA（grade 违约率单调）、W2 的特征重要性三处互相印证。</w:t>
      </w:r>
    </w:p>
    <w:p w14:paraId="373ACBC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FICO、dti、月供收入比等“还款能力”特征紧随其后，符合风控直觉：先看贷款条件，再看还款能力。</w:t>
      </w:r>
    </w:p>
    <w:p w14:paraId="714272C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W2 新建的 fico_avg、installment_income_ratio 进入前 10，说明特征工程有效；两个交互项贡献较小（grade_dti_inter 0.024、interest_loan_inter 0.007），保留但不必强调。</w:t>
      </w:r>
    </w:p>
    <w:p w14:paraId="2C7395F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匿名特征 n14、n3 有信号但无法业务解读，只能黑箱使用——这是数据本身的局限，已在局限一节说明。</w:t>
      </w:r>
    </w:p>
    <w:p w14:paraId="6A84E9F4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288C37CA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7. 业务结论</w:t>
      </w:r>
    </w:p>
    <w:p w14:paraId="3E817317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模型可用于“排序初筛”：AUC 0.73 的含义是，随机抽一对（一个真违约、一个真正常），模型有 73% 的概率把违约者排在更靠前的位置。适合给风控名单排序、辅助人工审核；不适合全自动放款。</w:t>
      </w:r>
    </w:p>
    <w:p w14:paraId="0E1346B9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结果稳健：七个模型 AUC 全部落在 0.72–0.73，说明结论不依赖某一个模型的选择，经得起交叉验证。</w:t>
      </w:r>
    </w:p>
    <w:p w14:paraId="338F30BF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看人先看贷款条件：子等级、期限、等级、利率是模型最看重的信息，风控规则的第一道防线可以围绕这些字段设置。</w:t>
      </w:r>
    </w:p>
    <w:p w14:paraId="58DCD1AC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阈值是业务决策而非技术参数：本报告所有数字都是阈值 0.5 的结果；实际放款策略需要在“少误伤好人”和“多抓坏人”之间做取舍，阶段 6 提供不同阈值下的对照供决策。</w:t>
      </w:r>
    </w:p>
    <w:p w14:paraId="7BF61B2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</w:p>
    <w:p w14:paraId="06113CF6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8. 局限与下一步</w:t>
      </w:r>
    </w:p>
    <w:p w14:paraId="5C0BEE05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局限一：方法对比实验在子样本上进行。三种调参方法的等预算对照用 20 万行子样本、3 折完成（控制时间成本），结论（三种方法上限一致、贝叶斯试错效率略优）在全量 5 折条件下可能有细微差异；正式模型仍以全量随机搜索的调参结果为准。</w:t>
      </w:r>
    </w:p>
    <w:p w14:paraId="017ADF1B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局限二：集成提升有限。队员之间同质性高（三个树模型），互补性不足；换用差异更大的模型族才可能拉开差距。</w:t>
      </w:r>
    </w:p>
    <w:p w14:paraId="22310C9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局限三：匿名特征 n0–n14 不可解释，只能作为黑箱特征使用，无法向业务解释其含义。</w:t>
      </w:r>
    </w:p>
    <w:p w14:paraId="27BD3A21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局限四：SHAP 只做了全局归因（整体上模型看重什么），未逐单客户展开；单客户级解释在交付上易读性差、维护成本高，本次不纳入交付。</w:t>
      </w:r>
    </w:p>
    <w:p w14:paraId="0597689D">
      <w:pPr>
        <w:spacing w:line="240" w:lineRule="auto"/>
        <w:jc w:val="left"/>
        <w:rPr>
          <w:rFonts w:ascii="verdana" w:hAnsi="verdana" w:eastAsia="宋体"/>
          <w:b w:val="0"/>
          <w:bCs/>
          <w:sz w:val="16"/>
        </w:rPr>
      </w:pPr>
      <w:r>
        <w:rPr>
          <w:rFonts w:ascii="verdana" w:hAnsi="verdana" w:eastAsia="宋体"/>
          <w:b w:val="0"/>
          <w:bCs/>
          <w:sz w:val="16"/>
        </w:rPr>
        <w:t>· 下一步（W4 / 阶段 6）：用从未碰过的 10% 测试集做最终评估与泛化能力分析；结合业务目标选择风险阈值；撰写 10–15 页最终项目报告；构建交互式业务仪表板与演示 PPT。</w:t>
      </w:r>
    </w:p>
    <w:sectPr>
      <w:pgSz w:w="11905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5D4736"/>
    <w:rsid w:val="74FFD842"/>
    <w:rsid w:val="EFFE7C32"/>
    <w:rsid w:val="FF7BD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qzuser</cp:lastModifiedBy>
  <dcterms:modified xsi:type="dcterms:W3CDTF">2026-09-17T14:40:03Z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0C802699B4BDD4E8E1B8A76AAF92BFB9_43</vt:lpwstr>
  </property>
</Properties>
</file>