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48AE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项目：基于用户历史数据与行为特征的信贷违约预测模型</w:t>
      </w:r>
    </w:p>
    <w:p w14:paraId="6A0B12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阶段：W2 模型构建与评估（任务 4.1–4.4）</w:t>
      </w:r>
    </w:p>
    <w:p w14:paraId="4F52C6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输入：`data/train_final.csv`（39 列，含 isDefault）</w:t>
      </w:r>
    </w:p>
    <w:p w14:paraId="59D1C7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代码：`scripts/W2/model_training.py`</w:t>
      </w:r>
    </w:p>
    <w:p w14:paraId="0EA7D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产物：`outputs/W2/model_comparison.csv`、`roc_curves.png`、`pr_curves.png`、`confusion_matrix_xgb.png`</w:t>
      </w:r>
    </w:p>
    <w:p w14:paraId="47231A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摘要</w:t>
      </w:r>
    </w:p>
    <w:p w14:paraId="3FF72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三个模型（逻辑回归/随机森林/XGBoost）都</w:t>
      </w:r>
      <w:r>
        <w:rPr>
          <w:rFonts w:ascii="verdana" w:hAnsi="verdana" w:eastAsia="宋体"/>
          <w:b w:val="0"/>
          <w:bCs/>
          <w:sz w:val="16"/>
        </w:rPr>
        <w:t>能有效区分违约者</w:t>
      </w:r>
      <w:r>
        <w:rPr>
          <w:rFonts w:ascii="verdana" w:hAnsi="verdana" w:eastAsia="宋体"/>
          <w:b w:val="0"/>
          <w:bCs/>
          <w:sz w:val="16"/>
        </w:rPr>
        <w:t>（AUC≈0.72-0.73），XGBoost 最优（AUC 0.728）。</w:t>
      </w:r>
    </w:p>
    <w:p w14:paraId="7BD6AC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直观理解：随机抽一个违约者、一个不违约者，模型有约 73% 的概率把违约者排在前面——</w:t>
      </w:r>
      <w:r>
        <w:rPr>
          <w:rFonts w:ascii="verdana" w:hAnsi="verdana" w:eastAsia="宋体"/>
          <w:b w:val="0"/>
          <w:bCs/>
          <w:sz w:val="16"/>
        </w:rPr>
        <w:t>可以辅助审批排序，但精度还不足以全自动放款</w:t>
      </w:r>
      <w:r>
        <w:rPr>
          <w:rFonts w:ascii="verdana" w:hAnsi="verdana" w:eastAsia="宋体"/>
          <w:b w:val="0"/>
          <w:bCs/>
          <w:sz w:val="16"/>
        </w:rPr>
        <w:t>。</w:t>
      </w:r>
    </w:p>
    <w:p w14:paraId="0A72A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业务上核心的取舍：阈值放低"多抓坏人"（召回率高）还是放高"少误伤好人"（精确率高），取决于风控目标，阶段 6 业务解读将给出不同阈值下的对照供选择。</w:t>
      </w:r>
    </w:p>
    <w:p w14:paraId="5B1FD4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10% 测试集从 W2 起全程未使用，阶段 6 用它做最终评估，保证数字不虚。</w:t>
      </w:r>
    </w:p>
    <w:p w14:paraId="4DA6AA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本轮成绩出自</w:t>
      </w:r>
      <w:r>
        <w:rPr>
          <w:rFonts w:ascii="verdana" w:hAnsi="verdana" w:eastAsia="宋体"/>
          <w:b w:val="0"/>
          <w:bCs/>
          <w:sz w:val="16"/>
        </w:rPr>
        <w:t>未调优的基线模型</w:t>
      </w:r>
      <w:r>
        <w:rPr>
          <w:rFonts w:ascii="verdana" w:hAnsi="verdana" w:eastAsia="宋体"/>
          <w:b w:val="0"/>
          <w:bCs/>
          <w:sz w:val="16"/>
        </w:rPr>
        <w:t>：三个模型的超参数全部取官方默认或按数据规模设定的保守值，分类阈值统一用 0.5（详见第 3 节），W3 在此基础上调优。</w:t>
      </w:r>
    </w:p>
    <w:p w14:paraId="74C66E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1. 数据集划分（任务 4.1）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7659110F">
        <w:trPr>
          <w:jc w:val="center"/>
        </w:trPr>
        <w:tc>
          <w:tcPr>
            <w:tcW w:w="1661" w:type="dxa"/>
          </w:tcPr>
          <w:p w14:paraId="51813B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集合</w:t>
            </w:r>
          </w:p>
        </w:tc>
        <w:tc>
          <w:tcPr>
            <w:tcW w:w="1661" w:type="dxa"/>
          </w:tcPr>
          <w:p w14:paraId="1CAD42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样本数</w:t>
            </w:r>
          </w:p>
        </w:tc>
        <w:tc>
          <w:tcPr>
            <w:tcW w:w="1661" w:type="dxa"/>
          </w:tcPr>
          <w:p w14:paraId="3EC107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占比</w:t>
            </w:r>
          </w:p>
        </w:tc>
        <w:tc>
          <w:tcPr>
            <w:tcW w:w="1661" w:type="dxa"/>
          </w:tcPr>
          <w:p w14:paraId="372152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违约率</w:t>
            </w:r>
          </w:p>
        </w:tc>
        <w:tc>
          <w:tcPr>
            <w:tcW w:w="1661" w:type="dxa"/>
          </w:tcPr>
          <w:p w14:paraId="2EF48B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用途</w:t>
            </w:r>
          </w:p>
        </w:tc>
      </w:tr>
      <w:tr w14:paraId="4906C5DF">
        <w:trPr>
          <w:jc w:val="center"/>
        </w:trPr>
        <w:tc>
          <w:tcPr>
            <w:tcW w:w="1661" w:type="dxa"/>
          </w:tcPr>
          <w:p w14:paraId="76B05A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训练集</w:t>
            </w:r>
          </w:p>
        </w:tc>
        <w:tc>
          <w:tcPr>
            <w:tcW w:w="1661" w:type="dxa"/>
          </w:tcPr>
          <w:p w14:paraId="641290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558,948</w:t>
            </w:r>
          </w:p>
        </w:tc>
        <w:tc>
          <w:tcPr>
            <w:tcW w:w="1661" w:type="dxa"/>
          </w:tcPr>
          <w:p w14:paraId="133CFC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70%</w:t>
            </w:r>
          </w:p>
        </w:tc>
        <w:tc>
          <w:tcPr>
            <w:tcW w:w="1661" w:type="dxa"/>
          </w:tcPr>
          <w:p w14:paraId="7388A8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19.95%</w:t>
            </w:r>
          </w:p>
        </w:tc>
        <w:tc>
          <w:tcPr>
            <w:tcW w:w="1661" w:type="dxa"/>
          </w:tcPr>
          <w:p w14:paraId="63263F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训练模型</w:t>
            </w:r>
          </w:p>
        </w:tc>
      </w:tr>
      <w:tr w14:paraId="2C8946BD">
        <w:trPr>
          <w:jc w:val="center"/>
        </w:trPr>
        <w:tc>
          <w:tcPr>
            <w:tcW w:w="1661" w:type="dxa"/>
          </w:tcPr>
          <w:p w14:paraId="1A3C89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验证集</w:t>
            </w:r>
          </w:p>
        </w:tc>
        <w:tc>
          <w:tcPr>
            <w:tcW w:w="1661" w:type="dxa"/>
          </w:tcPr>
          <w:p w14:paraId="7758B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159,700</w:t>
            </w:r>
          </w:p>
        </w:tc>
        <w:tc>
          <w:tcPr>
            <w:tcW w:w="1661" w:type="dxa"/>
          </w:tcPr>
          <w:p w14:paraId="3482E4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20%</w:t>
            </w:r>
          </w:p>
        </w:tc>
        <w:tc>
          <w:tcPr>
            <w:tcW w:w="1661" w:type="dxa"/>
          </w:tcPr>
          <w:p w14:paraId="55F859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19.95%</w:t>
            </w:r>
          </w:p>
        </w:tc>
        <w:tc>
          <w:tcPr>
            <w:tcW w:w="1661" w:type="dxa"/>
          </w:tcPr>
          <w:p w14:paraId="2A4933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模型对比、选参数</w:t>
            </w:r>
          </w:p>
        </w:tc>
      </w:tr>
      <w:tr w14:paraId="6CDEE923">
        <w:trPr>
          <w:jc w:val="center"/>
        </w:trPr>
        <w:tc>
          <w:tcPr>
            <w:tcW w:w="1661" w:type="dxa"/>
          </w:tcPr>
          <w:p w14:paraId="5C3DBE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测试集</w:t>
            </w:r>
          </w:p>
        </w:tc>
        <w:tc>
          <w:tcPr>
            <w:tcW w:w="1661" w:type="dxa"/>
          </w:tcPr>
          <w:p w14:paraId="6704E9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79,850</w:t>
            </w:r>
          </w:p>
        </w:tc>
        <w:tc>
          <w:tcPr>
            <w:tcW w:w="1661" w:type="dxa"/>
          </w:tcPr>
          <w:p w14:paraId="44F27B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10%</w:t>
            </w:r>
          </w:p>
        </w:tc>
        <w:tc>
          <w:tcPr>
            <w:tcW w:w="1661" w:type="dxa"/>
          </w:tcPr>
          <w:p w14:paraId="5FA3ED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19.95%</w:t>
            </w:r>
          </w:p>
        </w:tc>
        <w:tc>
          <w:tcPr>
            <w:tcW w:w="1661" w:type="dxa"/>
          </w:tcPr>
          <w:p w14:paraId="217032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阶段 6 最终评估，本阶段不碰</w:t>
            </w:r>
          </w:p>
        </w:tc>
      </w:tr>
    </w:tbl>
    <w:p w14:paraId="1BC1FA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划分用 </w:t>
      </w:r>
      <w:r>
        <w:rPr>
          <w:rFonts w:ascii="verdana" w:hAnsi="verdana" w:eastAsia="宋体"/>
          <w:b w:val="0"/>
          <w:bCs/>
          <w:sz w:val="16"/>
        </w:rPr>
        <w:t>stratify=y</w:t>
      </w:r>
      <w:r>
        <w:rPr>
          <w:rFonts w:ascii="verdana" w:hAnsi="verdana" w:eastAsia="宋体"/>
          <w:b w:val="0"/>
          <w:bCs/>
          <w:sz w:val="16"/>
        </w:rPr>
        <w:t>（分层抽样）：每个集合的违约率都保持 19.95%，与总体一致，防止切分本身引入偏差。</w:t>
      </w:r>
    </w:p>
    <w:p w14:paraId="1C5911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测试集从 W2 起就切出但全程不使用</w:t>
      </w:r>
      <w:r>
        <w:rPr>
          <w:rFonts w:ascii="verdana" w:hAnsi="verdana" w:eastAsia="宋体"/>
          <w:b w:val="0"/>
          <w:bCs/>
          <w:sz w:val="16"/>
        </w:rPr>
        <w:t>：如果反复用同一份数据调参，模型会被"背题"污染，阶段 6 的最终评估就失去意义。这是本项目最重要的一条数据纪律。</w:t>
      </w:r>
    </w:p>
    <w:p w14:paraId="43B27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 三个模型：是什么、为什么选它们（任务 4.2）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2768"/>
        <w:gridCol w:w="2768"/>
      </w:tblGrid>
      <w:tr w14:paraId="2279F0CA">
        <w:trPr>
          <w:jc w:val="center"/>
        </w:trPr>
        <w:tc>
          <w:tcPr>
            <w:tcW w:w="2768" w:type="dxa"/>
          </w:tcPr>
          <w:p w14:paraId="5600E8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</w:t>
            </w:r>
          </w:p>
        </w:tc>
        <w:tc>
          <w:tcPr>
            <w:tcW w:w="2768" w:type="dxa"/>
          </w:tcPr>
          <w:p w14:paraId="7012E8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一句话原理</w:t>
            </w:r>
          </w:p>
        </w:tc>
        <w:tc>
          <w:tcPr>
            <w:tcW w:w="2768" w:type="dxa"/>
          </w:tcPr>
          <w:p w14:paraId="302D4F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在本项目中的角色</w:t>
            </w:r>
          </w:p>
        </w:tc>
      </w:tr>
      <w:tr w14:paraId="47D3F5B0">
        <w:trPr>
          <w:jc w:val="center"/>
        </w:trPr>
        <w:tc>
          <w:tcPr>
            <w:tcW w:w="2768" w:type="dxa"/>
          </w:tcPr>
          <w:p w14:paraId="0BD7AE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2768" w:type="dxa"/>
          </w:tcPr>
          <w:p w14:paraId="13DC65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用一条线性公式 + sigmoid 输出违约概率</w:t>
            </w:r>
          </w:p>
        </w:tc>
        <w:tc>
          <w:tcPr>
            <w:tcW w:w="2768" w:type="dxa"/>
          </w:tcPr>
          <w:p w14:paraId="069C2E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线性基准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：可解释、可向业务讲"每个特征加一单位概率怎么变"</w:t>
            </w:r>
          </w:p>
        </w:tc>
      </w:tr>
      <w:tr w14:paraId="4FAFA579">
        <w:trPr>
          <w:jc w:val="center"/>
        </w:trPr>
        <w:tc>
          <w:tcPr>
            <w:tcW w:w="2768" w:type="dxa"/>
          </w:tcPr>
          <w:p w14:paraId="1D972B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2768" w:type="dxa"/>
          </w:tcPr>
          <w:p w14:paraId="16C43C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很多棵决策树各自投票，取平均概率</w:t>
            </w:r>
          </w:p>
        </w:tc>
        <w:tc>
          <w:tcPr>
            <w:tcW w:w="2768" w:type="dxa"/>
          </w:tcPr>
          <w:p w14:paraId="40FBF8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非线性基准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：自动抓交互和非线性，不用人工造特征</w:t>
            </w:r>
          </w:p>
        </w:tc>
      </w:tr>
      <w:tr w14:paraId="64457841">
        <w:trPr>
          <w:jc w:val="center"/>
        </w:trPr>
        <w:tc>
          <w:tcPr>
            <w:tcW w:w="2768" w:type="dxa"/>
          </w:tcPr>
          <w:p w14:paraId="6D0831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768" w:type="dxa"/>
          </w:tcPr>
          <w:p w14:paraId="40FA90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一棵棵树接力，后面的树专门纠前面的错（梯度提升）</w:t>
            </w:r>
          </w:p>
        </w:tc>
        <w:tc>
          <w:tcPr>
            <w:tcW w:w="2768" w:type="dxa"/>
          </w:tcPr>
          <w:p w14:paraId="3355E0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主力候选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：通常精度最高，竞赛验证过</w:t>
            </w:r>
          </w:p>
        </w:tc>
      </w:tr>
    </w:tbl>
    <w:p w14:paraId="3CF58F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三者都输出 0–1 的概率，再用阈值（默认 0.5）切出"违约/不违约"标签。</w:t>
      </w:r>
    </w:p>
    <w:p w14:paraId="169C60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3. 基线模型的超参数配置</w:t>
      </w:r>
      <w:bookmarkStart w:id="0" w:name="_GoBack"/>
      <w:bookmarkEnd w:id="0"/>
    </w:p>
    <w:p w14:paraId="2A3C82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本轮三个模型</w:t>
      </w:r>
      <w:r>
        <w:rPr>
          <w:rFonts w:ascii="verdana" w:hAnsi="verdana" w:eastAsia="宋体"/>
          <w:b w:val="0"/>
          <w:bCs/>
          <w:sz w:val="16"/>
        </w:rPr>
        <w:t>均未做任何调优</w:t>
      </w:r>
      <w:r>
        <w:rPr>
          <w:rFonts w:ascii="verdana" w:hAnsi="verdana" w:eastAsia="宋体"/>
          <w:b w:val="0"/>
          <w:bCs/>
          <w:sz w:val="16"/>
        </w:rPr>
        <w:t xml:space="preserve">，超参数全部取"官方默认值 / 按数据规模设定的保守值"，目的是先拿到一组可比较的基线；W3 将以此为起点做网格与随机搜索调参，并对比调优前后。全部设定写在 </w:t>
      </w:r>
      <w:r>
        <w:rPr>
          <w:rFonts w:ascii="verdana" w:hAnsi="verdana" w:eastAsia="宋体"/>
          <w:b w:val="0"/>
          <w:bCs/>
          <w:sz w:val="16"/>
        </w:rPr>
        <w:t>scripts/W2/model_training.py</w:t>
      </w:r>
      <w:r>
        <w:rPr>
          <w:rFonts w:ascii="verdana" w:hAnsi="verdana" w:eastAsia="宋体"/>
          <w:b w:val="0"/>
          <w:bCs/>
          <w:sz w:val="16"/>
        </w:rPr>
        <w:t>，配合固定的随机种子（</w:t>
      </w:r>
      <w:r>
        <w:rPr>
          <w:rFonts w:ascii="verdana" w:hAnsi="verdana" w:eastAsia="宋体"/>
          <w:b w:val="0"/>
          <w:bCs/>
          <w:sz w:val="16"/>
        </w:rPr>
        <w:t>random_state=42</w:t>
      </w:r>
      <w:r>
        <w:rPr>
          <w:rFonts w:ascii="verdana" w:hAnsi="verdana" w:eastAsia="宋体"/>
          <w:b w:val="0"/>
          <w:bCs/>
          <w:sz w:val="16"/>
        </w:rPr>
        <w:t>）可完整复现。</w:t>
      </w:r>
    </w:p>
    <w:p w14:paraId="35B60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下表只列出</w:t>
      </w:r>
      <w:r>
        <w:rPr>
          <w:rFonts w:ascii="verdana" w:hAnsi="verdana" w:eastAsia="宋体"/>
          <w:b w:val="0"/>
          <w:bCs/>
          <w:sz w:val="16"/>
        </w:rPr>
        <w:t>我们主动设定过的参数 + 关键默认参数</w:t>
      </w:r>
      <w:r>
        <w:rPr>
          <w:rFonts w:ascii="verdana" w:hAnsi="verdana" w:eastAsia="宋体"/>
          <w:b w:val="0"/>
          <w:bCs/>
          <w:sz w:val="16"/>
        </w:rPr>
        <w:t xml:space="preserve">（影响结果的旋钮）。其余未列出的参数一律取库的默认值，例如：逻辑回归的 </w:t>
      </w:r>
      <w:r>
        <w:rPr>
          <w:rFonts w:ascii="verdana" w:hAnsi="verdana" w:eastAsia="宋体"/>
          <w:b w:val="0"/>
          <w:bCs/>
          <w:sz w:val="16"/>
        </w:rPr>
        <w:t>penalty='l2'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C=1.0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tol=1e-4</w:t>
      </w:r>
      <w:r>
        <w:rPr>
          <w:rFonts w:ascii="verdana" w:hAnsi="verdana" w:eastAsia="宋体"/>
          <w:b w:val="0"/>
          <w:bCs/>
          <w:sz w:val="16"/>
        </w:rPr>
        <w:t xml:space="preserve">；随机森林的 </w:t>
      </w:r>
      <w:r>
        <w:rPr>
          <w:rFonts w:ascii="verdana" w:hAnsi="verdana" w:eastAsia="宋体"/>
          <w:b w:val="0"/>
          <w:bCs/>
          <w:sz w:val="16"/>
        </w:rPr>
        <w:t>max_features='sqrt'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min_samples_leaf=1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bootstrap=True</w:t>
      </w:r>
      <w:r>
        <w:rPr>
          <w:rFonts w:ascii="verdana" w:hAnsi="verdana" w:eastAsia="宋体"/>
          <w:b w:val="0"/>
          <w:bCs/>
          <w:sz w:val="16"/>
        </w:rPr>
        <w:t xml:space="preserve">；XGBoost 的 </w:t>
      </w:r>
      <w:r>
        <w:rPr>
          <w:rFonts w:ascii="verdana" w:hAnsi="verdana" w:eastAsia="宋体"/>
          <w:b w:val="0"/>
          <w:bCs/>
          <w:sz w:val="16"/>
        </w:rPr>
        <w:t>subsample=1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colsample_bytree=1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min_child_weight=1</w:t>
      </w:r>
      <w:r>
        <w:rPr>
          <w:rFonts w:ascii="verdana" w:hAnsi="verdana" w:eastAsia="宋体"/>
          <w:b w:val="0"/>
          <w:bCs/>
          <w:sz w:val="16"/>
        </w:rPr>
        <w:t>、</w:t>
      </w:r>
      <w:r>
        <w:rPr>
          <w:rFonts w:ascii="verdana" w:hAnsi="verdana" w:eastAsia="宋体"/>
          <w:b w:val="0"/>
          <w:bCs/>
          <w:sz w:val="16"/>
        </w:rPr>
        <w:t>reg_lambda=1</w:t>
      </w:r>
      <w:r>
        <w:rPr>
          <w:rFonts w:ascii="verdana" w:hAnsi="verdana" w:eastAsia="宋体"/>
          <w:b w:val="0"/>
          <w:bCs/>
          <w:sz w:val="16"/>
        </w:rPr>
        <w:t xml:space="preserve">。如需核对某个模型的全部参数，运行 </w:t>
      </w:r>
      <w:r>
        <w:rPr>
          <w:rFonts w:ascii="verdana" w:hAnsi="verdana" w:eastAsia="宋体"/>
          <w:b w:val="0"/>
          <w:bCs/>
          <w:sz w:val="16"/>
        </w:rPr>
        <w:t>model.get_params()</w:t>
      </w:r>
      <w:r>
        <w:rPr>
          <w:rFonts w:ascii="verdana" w:hAnsi="verdana" w:eastAsia="宋体"/>
          <w:b w:val="0"/>
          <w:bCs/>
          <w:sz w:val="16"/>
        </w:rPr>
        <w:t xml:space="preserve"> 即可打印。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7B04176B">
        <w:trPr>
          <w:jc w:val="center"/>
        </w:trPr>
        <w:tc>
          <w:tcPr>
            <w:tcW w:w="2076" w:type="dxa"/>
          </w:tcPr>
          <w:p w14:paraId="35D75D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</w:t>
            </w:r>
          </w:p>
        </w:tc>
        <w:tc>
          <w:tcPr>
            <w:tcW w:w="2076" w:type="dxa"/>
          </w:tcPr>
          <w:p w14:paraId="54B996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超参数</w:t>
            </w:r>
          </w:p>
        </w:tc>
        <w:tc>
          <w:tcPr>
            <w:tcW w:w="2076" w:type="dxa"/>
          </w:tcPr>
          <w:p w14:paraId="2FDB82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取值</w:t>
            </w:r>
          </w:p>
        </w:tc>
        <w:tc>
          <w:tcPr>
            <w:tcW w:w="2076" w:type="dxa"/>
          </w:tcPr>
          <w:p w14:paraId="25BC2B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为什么这么设</w:t>
            </w:r>
          </w:p>
        </w:tc>
      </w:tr>
      <w:tr w14:paraId="7B226316">
        <w:trPr>
          <w:jc w:val="center"/>
        </w:trPr>
        <w:tc>
          <w:tcPr>
            <w:tcW w:w="2076" w:type="dxa"/>
          </w:tcPr>
          <w:p w14:paraId="2B4FA2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2076" w:type="dxa"/>
          </w:tcPr>
          <w:p w14:paraId="612786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solver</w:t>
            </w:r>
          </w:p>
        </w:tc>
        <w:tc>
          <w:tcPr>
            <w:tcW w:w="2076" w:type="dxa"/>
          </w:tcPr>
          <w:p w14:paraId="6CE4ED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lbfgs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（默认）</w:t>
            </w:r>
          </w:p>
        </w:tc>
        <w:tc>
          <w:tcPr>
            <w:tcW w:w="2076" w:type="dxa"/>
          </w:tcPr>
          <w:p w14:paraId="00450A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sklearn 默认求解器，适合本数据规模</w:t>
            </w:r>
          </w:p>
        </w:tc>
      </w:tr>
      <w:tr w14:paraId="39DA50AE">
        <w:trPr>
          <w:jc w:val="center"/>
        </w:trPr>
        <w:tc>
          <w:tcPr>
            <w:tcW w:w="2076" w:type="dxa"/>
          </w:tcPr>
          <w:p w14:paraId="4DD04F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2076" w:type="dxa"/>
          </w:tcPr>
          <w:p w14:paraId="39C3BB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max_iter</w:t>
            </w:r>
          </w:p>
        </w:tc>
        <w:tc>
          <w:tcPr>
            <w:tcW w:w="2076" w:type="dxa"/>
          </w:tcPr>
          <w:p w14:paraId="6902FD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1000</w:t>
            </w:r>
          </w:p>
        </w:tc>
        <w:tc>
          <w:tcPr>
            <w:tcW w:w="2076" w:type="dxa"/>
          </w:tcPr>
          <w:p w14:paraId="07A5CF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迭代上限放大到 1000，保证 55.9 万行样本能收敛（默认 100 会提前停止并报收敛警告）</w:t>
            </w:r>
          </w:p>
        </w:tc>
      </w:tr>
      <w:tr w14:paraId="04C0309B">
        <w:trPr>
          <w:jc w:val="center"/>
        </w:trPr>
        <w:tc>
          <w:tcPr>
            <w:tcW w:w="2076" w:type="dxa"/>
          </w:tcPr>
          <w:p w14:paraId="407F73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2076" w:type="dxa"/>
          </w:tcPr>
          <w:p w14:paraId="36A31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class_weight</w:t>
            </w:r>
          </w:p>
        </w:tc>
        <w:tc>
          <w:tcPr>
            <w:tcW w:w="2076" w:type="dxa"/>
          </w:tcPr>
          <w:p w14:paraId="7A363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balanced</w:t>
            </w:r>
          </w:p>
        </w:tc>
        <w:tc>
          <w:tcPr>
            <w:tcW w:w="2076" w:type="dxa"/>
          </w:tcPr>
          <w:p w14:paraId="0A3733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按类别频率自动加权，处理 1:4 不平衡（见第 4 节）</w:t>
            </w:r>
          </w:p>
        </w:tc>
      </w:tr>
      <w:tr w14:paraId="688F75FC">
        <w:trPr>
          <w:jc w:val="center"/>
        </w:trPr>
        <w:tc>
          <w:tcPr>
            <w:tcW w:w="2076" w:type="dxa"/>
          </w:tcPr>
          <w:p w14:paraId="4B4AC8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2076" w:type="dxa"/>
          </w:tcPr>
          <w:p w14:paraId="1DD6E8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random_state</w:t>
            </w:r>
          </w:p>
        </w:tc>
        <w:tc>
          <w:tcPr>
            <w:tcW w:w="2076" w:type="dxa"/>
          </w:tcPr>
          <w:p w14:paraId="6BDAEA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42</w:t>
            </w:r>
          </w:p>
        </w:tc>
        <w:tc>
          <w:tcPr>
            <w:tcW w:w="2076" w:type="dxa"/>
          </w:tcPr>
          <w:p w14:paraId="6F044F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固定随机种子，结果可复现</w:t>
            </w:r>
          </w:p>
        </w:tc>
      </w:tr>
      <w:tr w14:paraId="2F831F88">
        <w:trPr>
          <w:jc w:val="center"/>
        </w:trPr>
        <w:tc>
          <w:tcPr>
            <w:tcW w:w="2076" w:type="dxa"/>
          </w:tcPr>
          <w:p w14:paraId="560D80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2076" w:type="dxa"/>
          </w:tcPr>
          <w:p w14:paraId="134D2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n_estimators</w:t>
            </w:r>
          </w:p>
        </w:tc>
        <w:tc>
          <w:tcPr>
            <w:tcW w:w="2076" w:type="dxa"/>
          </w:tcPr>
          <w:p w14:paraId="119535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100</w:t>
            </w:r>
          </w:p>
        </w:tc>
        <w:tc>
          <w:tcPr>
            <w:tcW w:w="2076" w:type="dxa"/>
          </w:tcPr>
          <w:p w14:paraId="05CF3F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森林里 100 棵树；再多边际提升很小、训练更慢</w:t>
            </w:r>
          </w:p>
        </w:tc>
      </w:tr>
      <w:tr w14:paraId="0E10DE4A">
        <w:trPr>
          <w:jc w:val="center"/>
        </w:trPr>
        <w:tc>
          <w:tcPr>
            <w:tcW w:w="2076" w:type="dxa"/>
          </w:tcPr>
          <w:p w14:paraId="7CC911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2076" w:type="dxa"/>
          </w:tcPr>
          <w:p w14:paraId="67BA3C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max_depth</w:t>
            </w:r>
          </w:p>
        </w:tc>
        <w:tc>
          <w:tcPr>
            <w:tcW w:w="2076" w:type="dxa"/>
          </w:tcPr>
          <w:p w14:paraId="22B052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12</w:t>
            </w:r>
          </w:p>
        </w:tc>
        <w:tc>
          <w:tcPr>
            <w:tcW w:w="2076" w:type="dxa"/>
          </w:tcPr>
          <w:p w14:paraId="466BD8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限制树深（sklearn 默认不限深）：80 万行若让树自由生长会严重过拟合且极慢</w:t>
            </w:r>
          </w:p>
        </w:tc>
      </w:tr>
      <w:tr w14:paraId="1E06D804">
        <w:trPr>
          <w:jc w:val="center"/>
        </w:trPr>
        <w:tc>
          <w:tcPr>
            <w:tcW w:w="2076" w:type="dxa"/>
          </w:tcPr>
          <w:p w14:paraId="57E6EF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2076" w:type="dxa"/>
          </w:tcPr>
          <w:p w14:paraId="32D2FE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class_weight</w:t>
            </w:r>
          </w:p>
        </w:tc>
        <w:tc>
          <w:tcPr>
            <w:tcW w:w="2076" w:type="dxa"/>
          </w:tcPr>
          <w:p w14:paraId="3691C0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balanced</w:t>
            </w:r>
          </w:p>
        </w:tc>
        <w:tc>
          <w:tcPr>
            <w:tcW w:w="2076" w:type="dxa"/>
          </w:tcPr>
          <w:p w14:paraId="5105D4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同上</w:t>
            </w:r>
          </w:p>
        </w:tc>
      </w:tr>
      <w:tr w14:paraId="71B6CCA9">
        <w:trPr>
          <w:jc w:val="center"/>
        </w:trPr>
        <w:tc>
          <w:tcPr>
            <w:tcW w:w="2076" w:type="dxa"/>
          </w:tcPr>
          <w:p w14:paraId="046502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2076" w:type="dxa"/>
          </w:tcPr>
          <w:p w14:paraId="3D6753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n_jobs</w:t>
            </w:r>
          </w:p>
        </w:tc>
        <w:tc>
          <w:tcPr>
            <w:tcW w:w="2076" w:type="dxa"/>
          </w:tcPr>
          <w:p w14:paraId="5AD0CC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−1</w:t>
            </w:r>
          </w:p>
        </w:tc>
        <w:tc>
          <w:tcPr>
            <w:tcW w:w="2076" w:type="dxa"/>
          </w:tcPr>
          <w:p w14:paraId="5A9623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用满全部 CPU 核心并行训练</w:t>
            </w:r>
          </w:p>
        </w:tc>
      </w:tr>
      <w:tr w14:paraId="64F7FA62">
        <w:trPr>
          <w:jc w:val="center"/>
        </w:trPr>
        <w:tc>
          <w:tcPr>
            <w:tcW w:w="2076" w:type="dxa"/>
          </w:tcPr>
          <w:p w14:paraId="4FD705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0E913A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n_estimators</w:t>
            </w:r>
          </w:p>
        </w:tc>
        <w:tc>
          <w:tcPr>
            <w:tcW w:w="2076" w:type="dxa"/>
          </w:tcPr>
          <w:p w14:paraId="6C846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100</w:t>
            </w:r>
          </w:p>
        </w:tc>
        <w:tc>
          <w:tcPr>
            <w:tcW w:w="2076" w:type="dxa"/>
          </w:tcPr>
          <w:p w14:paraId="096A6C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提升轮数，即 100 棵"接力纠错树"（默认值）</w:t>
            </w:r>
          </w:p>
        </w:tc>
      </w:tr>
      <w:tr w14:paraId="777C0A7C">
        <w:trPr>
          <w:jc w:val="center"/>
        </w:trPr>
        <w:tc>
          <w:tcPr>
            <w:tcW w:w="2076" w:type="dxa"/>
          </w:tcPr>
          <w:p w14:paraId="6E6F89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5CBDDA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max_depth</w:t>
            </w:r>
          </w:p>
        </w:tc>
        <w:tc>
          <w:tcPr>
            <w:tcW w:w="2076" w:type="dxa"/>
          </w:tcPr>
          <w:p w14:paraId="7CB2B4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6</w:t>
            </w:r>
          </w:p>
        </w:tc>
        <w:tc>
          <w:tcPr>
            <w:tcW w:w="2076" w:type="dxa"/>
          </w:tcPr>
          <w:p w14:paraId="51A079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每棵树最大深度 6，XGBoost 官方默认，也是防过拟合的常用起点</w:t>
            </w:r>
          </w:p>
        </w:tc>
      </w:tr>
      <w:tr w14:paraId="167A6FDB">
        <w:trPr>
          <w:jc w:val="center"/>
        </w:trPr>
        <w:tc>
          <w:tcPr>
            <w:tcW w:w="2076" w:type="dxa"/>
          </w:tcPr>
          <w:p w14:paraId="34FD21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3AEEFE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learning_rate</w:t>
            </w:r>
          </w:p>
        </w:tc>
        <w:tc>
          <w:tcPr>
            <w:tcW w:w="2076" w:type="dxa"/>
          </w:tcPr>
          <w:p w14:paraId="414C5A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0.1</w:t>
            </w:r>
          </w:p>
        </w:tc>
        <w:tc>
          <w:tcPr>
            <w:tcW w:w="2076" w:type="dxa"/>
          </w:tcPr>
          <w:p w14:paraId="17680D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每棵树的贡献只加 10%（收缩步长）：步子小更稳、不易过拟合。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库默认是 0.3，我们取更保守的 0.1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 xml:space="preserve">（实战常用起点）；与 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n_estimators=100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 xml:space="preserve"> 属"小步慢走"搭配，W3 将成对搜索这两个参数</w:t>
            </w:r>
          </w:p>
        </w:tc>
      </w:tr>
      <w:tr w14:paraId="2EC671A8">
        <w:trPr>
          <w:jc w:val="center"/>
        </w:trPr>
        <w:tc>
          <w:tcPr>
            <w:tcW w:w="2076" w:type="dxa"/>
          </w:tcPr>
          <w:p w14:paraId="4E5963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692170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scale_pos_weight</w:t>
            </w:r>
          </w:p>
        </w:tc>
        <w:tc>
          <w:tcPr>
            <w:tcW w:w="2076" w:type="dxa"/>
          </w:tcPr>
          <w:p w14:paraId="52E414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4.0129</w:t>
            </w:r>
          </w:p>
        </w:tc>
        <w:tc>
          <w:tcPr>
            <w:tcW w:w="2076" w:type="dxa"/>
          </w:tcPr>
          <w:p w14:paraId="1F06EF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训练集负样本 ÷ 正样本 = 447,447 ÷ 111,501，等价于把违约样本权重放大 4 倍</w:t>
            </w:r>
          </w:p>
        </w:tc>
      </w:tr>
      <w:tr w14:paraId="7B5FD324">
        <w:trPr>
          <w:jc w:val="center"/>
        </w:trPr>
        <w:tc>
          <w:tcPr>
            <w:tcW w:w="2076" w:type="dxa"/>
          </w:tcPr>
          <w:p w14:paraId="4C5A32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324E13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eval_metric</w:t>
            </w:r>
          </w:p>
        </w:tc>
        <w:tc>
          <w:tcPr>
            <w:tcW w:w="2076" w:type="dxa"/>
          </w:tcPr>
          <w:p w14:paraId="1E4B3C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logloss</w:t>
            </w:r>
          </w:p>
        </w:tc>
        <w:tc>
          <w:tcPr>
            <w:tcW w:w="2076" w:type="dxa"/>
          </w:tcPr>
          <w:p w14:paraId="4AFFEF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训练过程中监控用对数损失（二分类默认即为 logloss，此处显式写出以保证透明）；仅作训练路标，最终评估仍用 AUC/F1 等指标（见第 5、6 节）</w:t>
            </w:r>
          </w:p>
        </w:tc>
      </w:tr>
      <w:tr w14:paraId="69CB0B20">
        <w:trPr>
          <w:jc w:val="center"/>
        </w:trPr>
        <w:tc>
          <w:tcPr>
            <w:tcW w:w="2076" w:type="dxa"/>
          </w:tcPr>
          <w:p w14:paraId="61CB97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2076" w:type="dxa"/>
          </w:tcPr>
          <w:p w14:paraId="1C3844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n_jobs</w:t>
            </w:r>
          </w:p>
        </w:tc>
        <w:tc>
          <w:tcPr>
            <w:tcW w:w="2076" w:type="dxa"/>
          </w:tcPr>
          <w:p w14:paraId="407FBA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−1</w:t>
            </w:r>
          </w:p>
        </w:tc>
        <w:tc>
          <w:tcPr>
            <w:tcW w:w="2076" w:type="dxa"/>
          </w:tcPr>
          <w:p w14:paraId="6D703B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并行训练</w:t>
            </w:r>
          </w:p>
        </w:tc>
      </w:tr>
    </w:tbl>
    <w:p w14:paraId="68A588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三个模型共用的设定：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2768"/>
        <w:gridCol w:w="2768"/>
      </w:tblGrid>
      <w:tr w14:paraId="3C8B472A">
        <w:trPr>
          <w:jc w:val="center"/>
        </w:trPr>
        <w:tc>
          <w:tcPr>
            <w:tcW w:w="2768" w:type="dxa"/>
          </w:tcPr>
          <w:p w14:paraId="111A6C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项目</w:t>
            </w:r>
          </w:p>
        </w:tc>
        <w:tc>
          <w:tcPr>
            <w:tcW w:w="2768" w:type="dxa"/>
          </w:tcPr>
          <w:p w14:paraId="4F2919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取值</w:t>
            </w:r>
          </w:p>
        </w:tc>
        <w:tc>
          <w:tcPr>
            <w:tcW w:w="2768" w:type="dxa"/>
          </w:tcPr>
          <w:p w14:paraId="5A5082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说明</w:t>
            </w:r>
          </w:p>
        </w:tc>
      </w:tr>
      <w:tr w14:paraId="2823D64D">
        <w:trPr>
          <w:jc w:val="center"/>
        </w:trPr>
        <w:tc>
          <w:tcPr>
            <w:tcW w:w="2768" w:type="dxa"/>
          </w:tcPr>
          <w:p w14:paraId="64613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分类阈值</w:t>
            </w:r>
          </w:p>
        </w:tc>
        <w:tc>
          <w:tcPr>
            <w:tcW w:w="2768" w:type="dxa"/>
          </w:tcPr>
          <w:p w14:paraId="199EC9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0.5</w:t>
            </w:r>
          </w:p>
        </w:tc>
        <w:tc>
          <w:tcPr>
            <w:tcW w:w="2768" w:type="dxa"/>
          </w:tcPr>
          <w:p w14:paraId="59565C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预测概率 ≥ 0.5 判为违约；这是数学默认值，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不是业务最优值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（见第 7 节）</w:t>
            </w:r>
          </w:p>
        </w:tc>
      </w:tr>
      <w:tr w14:paraId="32C55AE5">
        <w:trPr>
          <w:jc w:val="center"/>
        </w:trPr>
        <w:tc>
          <w:tcPr>
            <w:tcW w:w="2768" w:type="dxa"/>
          </w:tcPr>
          <w:p w14:paraId="0CCC5E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随机种子</w:t>
            </w:r>
          </w:p>
        </w:tc>
        <w:tc>
          <w:tcPr>
            <w:tcW w:w="2768" w:type="dxa"/>
          </w:tcPr>
          <w:p w14:paraId="46D26C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random_state=42</w:t>
            </w:r>
          </w:p>
        </w:tc>
        <w:tc>
          <w:tcPr>
            <w:tcW w:w="2768" w:type="dxa"/>
          </w:tcPr>
          <w:p w14:paraId="63AEC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数据划分与三个模型统一固定，保证全程可复现</w:t>
            </w:r>
          </w:p>
        </w:tc>
      </w:tr>
      <w:tr w14:paraId="1BA60ED7">
        <w:trPr>
          <w:jc w:val="center"/>
        </w:trPr>
        <w:tc>
          <w:tcPr>
            <w:tcW w:w="2768" w:type="dxa"/>
          </w:tcPr>
          <w:p w14:paraId="2A34A5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数据划分</w:t>
            </w:r>
          </w:p>
        </w:tc>
        <w:tc>
          <w:tcPr>
            <w:tcW w:w="2768" w:type="dxa"/>
          </w:tcPr>
          <w:p w14:paraId="706A4B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训练 70% / 验证 20% / 测试 10%，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stratify=y</w:t>
            </w:r>
          </w:p>
        </w:tc>
        <w:tc>
          <w:tcPr>
            <w:tcW w:w="2768" w:type="dxa"/>
          </w:tcPr>
          <w:p w14:paraId="3D6161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分层抽样，三份违约率均为 19.95%（见第 1 节）</w:t>
            </w:r>
          </w:p>
        </w:tc>
      </w:tr>
      <w:tr w14:paraId="175DF723">
        <w:trPr>
          <w:jc w:val="center"/>
        </w:trPr>
        <w:tc>
          <w:tcPr>
            <w:tcW w:w="2768" w:type="dxa"/>
          </w:tcPr>
          <w:p w14:paraId="23EB92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输入特征</w:t>
            </w:r>
          </w:p>
        </w:tc>
        <w:tc>
          <w:tcPr>
            <w:tcW w:w="2768" w:type="dxa"/>
          </w:tcPr>
          <w:p w14:paraId="3197F3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38 个</w:t>
            </w:r>
          </w:p>
        </w:tc>
        <w:tc>
          <w:tcPr>
            <w:tcW w:w="2768" w:type="dxa"/>
          </w:tcPr>
          <w:p w14:paraId="5CE589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data/train_final.csv</w:t>
            </w:r>
            <w:r>
              <w:rPr>
                <w:rFonts w:ascii="verdana" w:hAnsi="verdana" w:eastAsia="宋体"/>
                <w:b w:val="0"/>
                <w:bCs/>
                <w:sz w:val="16"/>
              </w:rPr>
              <w:t>（特征工程产物）</w:t>
            </w:r>
          </w:p>
        </w:tc>
      </w:tr>
    </w:tbl>
    <w:p w14:paraId="418C7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一句话</w:t>
      </w:r>
      <w:r>
        <w:rPr>
          <w:rFonts w:ascii="verdana" w:hAnsi="verdana" w:eastAsia="宋体"/>
          <w:b w:val="0"/>
          <w:bCs/>
          <w:sz w:val="16"/>
        </w:rPr>
        <w:t>：这一轮的定位是"</w:t>
      </w:r>
      <w:r>
        <w:rPr>
          <w:rFonts w:ascii="verdana" w:hAnsi="verdana" w:eastAsia="宋体"/>
          <w:b w:val="0"/>
          <w:bCs/>
          <w:sz w:val="16"/>
        </w:rPr>
        <w:t>同一起跑线上的三条基线</w:t>
      </w:r>
      <w:r>
        <w:rPr>
          <w:rFonts w:ascii="verdana" w:hAnsi="verdana" w:eastAsia="宋体"/>
          <w:b w:val="0"/>
          <w:bCs/>
          <w:sz w:val="16"/>
        </w:rPr>
        <w:t>"——超参数全部取默认或保守值，先摸清三模型的相对强弱和特征本身的信息上限；性能提升留给 W3 的调参、集成与阈值优化。</w:t>
      </w:r>
    </w:p>
    <w:p w14:paraId="18291B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4. 类别不平衡处理</w:t>
      </w:r>
    </w:p>
    <w:p w14:paraId="73E98F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本项目违约率 20%（约 1:4），属于中度不平衡。处理方式：</w:t>
      </w:r>
    </w:p>
    <w:p w14:paraId="32A367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逻辑回归 / 随机森林：</w:t>
      </w:r>
      <w:r>
        <w:rPr>
          <w:rFonts w:ascii="verdana" w:hAnsi="verdana" w:eastAsia="宋体"/>
          <w:b w:val="0"/>
          <w:bCs/>
          <w:sz w:val="16"/>
        </w:rPr>
        <w:t>class_weight="balanced"</w:t>
      </w:r>
      <w:r>
        <w:rPr>
          <w:rFonts w:ascii="verdana" w:hAnsi="verdana" w:eastAsia="宋体"/>
          <w:b w:val="0"/>
          <w:bCs/>
          <w:sz w:val="16"/>
        </w:rPr>
        <w:t xml:space="preserve"> —— 少数类（违约）样本的错分代价自动提高；</w:t>
      </w:r>
    </w:p>
    <w:p w14:paraId="48957C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XGBoost：</w:t>
      </w:r>
      <w:r>
        <w:rPr>
          <w:rFonts w:ascii="verdana" w:hAnsi="verdana" w:eastAsia="宋体"/>
          <w:b w:val="0"/>
          <w:bCs/>
          <w:sz w:val="16"/>
        </w:rPr>
        <w:t>scale_pos_weight = 负样本数/正样本数 ≈ 4.02</w:t>
      </w:r>
      <w:r>
        <w:rPr>
          <w:rFonts w:ascii="verdana" w:hAnsi="verdana" w:eastAsia="宋体"/>
          <w:b w:val="0"/>
          <w:bCs/>
          <w:sz w:val="16"/>
        </w:rPr>
        <w:t xml:space="preserve"> —— 等价于把违约样本的权重放大 4 倍。</w:t>
      </w:r>
    </w:p>
    <w:p w14:paraId="6E8AC7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目的：</w:t>
      </w:r>
      <w:r>
        <w:rPr>
          <w:rFonts w:ascii="verdana" w:hAnsi="verdana" w:eastAsia="宋体"/>
          <w:b w:val="0"/>
          <w:bCs/>
          <w:sz w:val="16"/>
        </w:rPr>
        <w:t>不让模型偷懒成"全猜不违约"</w:t>
      </w:r>
      <w:r>
        <w:rPr>
          <w:rFonts w:ascii="verdana" w:hAnsi="verdana" w:eastAsia="宋体"/>
          <w:b w:val="0"/>
          <w:bCs/>
          <w:sz w:val="16"/>
        </w:rPr>
        <w:t>（那样准确率 80% 但一个违约者都抓不到）。</w:t>
      </w:r>
    </w:p>
    <w:p w14:paraId="477024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5. 评估指标怎么读（任务 4.3）</w:t>
      </w:r>
    </w:p>
    <w:p w14:paraId="10BED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用验证集（模型没见过的 15.97 万人）预测后，与真实 </w:t>
      </w:r>
      <w:r>
        <w:rPr>
          <w:rFonts w:ascii="verdana" w:hAnsi="verdana" w:eastAsia="宋体"/>
          <w:b w:val="0"/>
          <w:bCs/>
          <w:sz w:val="16"/>
        </w:rPr>
        <w:t>isDefault</w:t>
      </w:r>
      <w:r>
        <w:rPr>
          <w:rFonts w:ascii="verdana" w:hAnsi="verdana" w:eastAsia="宋体"/>
          <w:b w:val="0"/>
          <w:bCs/>
          <w:sz w:val="16"/>
        </w:rPr>
        <w:t xml:space="preserve"> 对比计算：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2768"/>
        <w:gridCol w:w="2768"/>
      </w:tblGrid>
      <w:tr w14:paraId="0C24F419">
        <w:trPr>
          <w:jc w:val="center"/>
        </w:trPr>
        <w:tc>
          <w:tcPr>
            <w:tcW w:w="2768" w:type="dxa"/>
          </w:tcPr>
          <w:p w14:paraId="437C8C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指标</w:t>
            </w:r>
          </w:p>
        </w:tc>
        <w:tc>
          <w:tcPr>
            <w:tcW w:w="2768" w:type="dxa"/>
          </w:tcPr>
          <w:p w14:paraId="26B503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大白话</w:t>
            </w:r>
          </w:p>
        </w:tc>
        <w:tc>
          <w:tcPr>
            <w:tcW w:w="2768" w:type="dxa"/>
          </w:tcPr>
          <w:p w14:paraId="4D18E9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本项目关注度</w:t>
            </w:r>
          </w:p>
        </w:tc>
      </w:tr>
      <w:tr w14:paraId="4802ED91">
        <w:trPr>
          <w:jc w:val="center"/>
        </w:trPr>
        <w:tc>
          <w:tcPr>
            <w:tcW w:w="2768" w:type="dxa"/>
          </w:tcPr>
          <w:p w14:paraId="5B57AF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准确率</w:t>
            </w:r>
          </w:p>
        </w:tc>
        <w:tc>
          <w:tcPr>
            <w:tcW w:w="2768" w:type="dxa"/>
          </w:tcPr>
          <w:p w14:paraId="05F37B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判对的 ÷ 所有人</w:t>
            </w:r>
          </w:p>
        </w:tc>
        <w:tc>
          <w:tcPr>
            <w:tcW w:w="2768" w:type="dxa"/>
          </w:tcPr>
          <w:p w14:paraId="0F53E8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低：类别不平衡下失真（全猜"不违约"也有 80%）</w:t>
            </w:r>
          </w:p>
        </w:tc>
      </w:tr>
      <w:tr w14:paraId="309E95DB">
        <w:trPr>
          <w:jc w:val="center"/>
        </w:trPr>
        <w:tc>
          <w:tcPr>
            <w:tcW w:w="2768" w:type="dxa"/>
          </w:tcPr>
          <w:p w14:paraId="6C30C9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精确率</w:t>
            </w:r>
          </w:p>
        </w:tc>
        <w:tc>
          <w:tcPr>
            <w:tcW w:w="2768" w:type="dxa"/>
          </w:tcPr>
          <w:p w14:paraId="3239BC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被判违约的人里，真违约的比例（抓得准不准）</w:t>
            </w:r>
          </w:p>
        </w:tc>
        <w:tc>
          <w:tcPr>
            <w:tcW w:w="2768" w:type="dxa"/>
          </w:tcPr>
          <w:p w14:paraId="1D30D1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高：误伤一个好人 = 少一单好业务</w:t>
            </w:r>
          </w:p>
        </w:tc>
      </w:tr>
      <w:tr w14:paraId="7022A973">
        <w:trPr>
          <w:jc w:val="center"/>
        </w:trPr>
        <w:tc>
          <w:tcPr>
            <w:tcW w:w="2768" w:type="dxa"/>
          </w:tcPr>
          <w:p w14:paraId="310AA7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召回率</w:t>
            </w:r>
          </w:p>
        </w:tc>
        <w:tc>
          <w:tcPr>
            <w:tcW w:w="2768" w:type="dxa"/>
          </w:tcPr>
          <w:p w14:paraId="6F984F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真违约的人里，被抓到的比例（抓得全不全）</w:t>
            </w:r>
          </w:p>
        </w:tc>
        <w:tc>
          <w:tcPr>
            <w:tcW w:w="2768" w:type="dxa"/>
          </w:tcPr>
          <w:p w14:paraId="38E7AA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高：漏掉一个坏人 = 一笔坏账</w:t>
            </w:r>
          </w:p>
        </w:tc>
      </w:tr>
      <w:tr w14:paraId="1F3576DA">
        <w:trPr>
          <w:jc w:val="center"/>
        </w:trPr>
        <w:tc>
          <w:tcPr>
            <w:tcW w:w="2768" w:type="dxa"/>
          </w:tcPr>
          <w:p w14:paraId="2176D7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F1</w:t>
            </w:r>
          </w:p>
        </w:tc>
        <w:tc>
          <w:tcPr>
            <w:tcW w:w="2768" w:type="dxa"/>
          </w:tcPr>
          <w:p w14:paraId="6D5FEE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精确率与召回率的调和平均</w:t>
            </w:r>
          </w:p>
        </w:tc>
        <w:tc>
          <w:tcPr>
            <w:tcW w:w="2768" w:type="dxa"/>
          </w:tcPr>
          <w:p w14:paraId="4731F3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中：两者均衡时的单值参考</w:t>
            </w:r>
          </w:p>
        </w:tc>
      </w:tr>
      <w:tr w14:paraId="3A37C291">
        <w:trPr>
          <w:jc w:val="center"/>
        </w:trPr>
        <w:tc>
          <w:tcPr>
            <w:tcW w:w="2768" w:type="dxa"/>
          </w:tcPr>
          <w:p w14:paraId="09CBF2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AUC-ROC</w:t>
            </w:r>
          </w:p>
        </w:tc>
        <w:tc>
          <w:tcPr>
            <w:tcW w:w="2768" w:type="dxa"/>
          </w:tcPr>
          <w:p w14:paraId="01739C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随机抽一个违约者、一个不违约者，模型把违约者排前面的概率</w:t>
            </w:r>
          </w:p>
        </w:tc>
        <w:tc>
          <w:tcPr>
            <w:tcW w:w="2768" w:type="dxa"/>
          </w:tcPr>
          <w:p w14:paraId="0546D1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高：只看排序能力，不依赖阈值</w:t>
            </w:r>
          </w:p>
        </w:tc>
      </w:tr>
    </w:tbl>
    <w:p w14:paraId="34996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关键认知（AUC 的常见误读）</w:t>
      </w:r>
      <w:r>
        <w:rPr>
          <w:rFonts w:ascii="verdana" w:hAnsi="verdana" w:eastAsia="宋体"/>
          <w:b w:val="0"/>
          <w:bCs/>
          <w:sz w:val="16"/>
        </w:rPr>
        <w:t>：AUC=0.728 不是"预测对 72.8%"，而是"配对比较时违约者排前面的概率 72.8%"——它衡量的是模型给违约者排高分的能力，与具体阈值无关。</w:t>
      </w:r>
    </w:p>
    <w:p w14:paraId="4AFAC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精确率与召回率的此消彼长</w:t>
      </w:r>
      <w:r>
        <w:rPr>
          <w:rFonts w:ascii="verdana" w:hAnsi="verdana" w:eastAsia="宋体"/>
          <w:b w:val="0"/>
          <w:bCs/>
          <w:sz w:val="16"/>
        </w:rPr>
        <w:t>：同一个阈值同时决定"抓谁"和"抓多少"。阈值高 → 只抓最有把握的（精确率高），但漏掉大量违约者（召回率低）；阈值低 → 几乎全抓（召回率高），但混入大量好人（精确率低）。两个都高，意味着模型能把两类人完美分开——现实数据做不到（特征信息有限），所以只能选平衡点。</w:t>
      </w:r>
    </w:p>
    <w:p w14:paraId="31F0E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6. 三模型验证集对比（任务 4.4）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5E5DA15F">
        <w:trPr>
          <w:jc w:val="center"/>
        </w:trPr>
        <w:tc>
          <w:tcPr>
            <w:tcW w:w="1384" w:type="dxa"/>
          </w:tcPr>
          <w:p w14:paraId="5194AF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</w:t>
            </w:r>
          </w:p>
        </w:tc>
        <w:tc>
          <w:tcPr>
            <w:tcW w:w="1384" w:type="dxa"/>
          </w:tcPr>
          <w:p w14:paraId="12B4B3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准确率</w:t>
            </w:r>
          </w:p>
        </w:tc>
        <w:tc>
          <w:tcPr>
            <w:tcW w:w="1384" w:type="dxa"/>
          </w:tcPr>
          <w:p w14:paraId="7CA955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精确率</w:t>
            </w:r>
          </w:p>
        </w:tc>
        <w:tc>
          <w:tcPr>
            <w:tcW w:w="1384" w:type="dxa"/>
          </w:tcPr>
          <w:p w14:paraId="675647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召回率</w:t>
            </w:r>
          </w:p>
        </w:tc>
        <w:tc>
          <w:tcPr>
            <w:tcW w:w="1384" w:type="dxa"/>
          </w:tcPr>
          <w:p w14:paraId="6E8875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F1</w:t>
            </w:r>
          </w:p>
        </w:tc>
        <w:tc>
          <w:tcPr>
            <w:tcW w:w="1384" w:type="dxa"/>
          </w:tcPr>
          <w:p w14:paraId="6656AE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AUC</w:t>
            </w:r>
          </w:p>
        </w:tc>
      </w:tr>
      <w:tr w14:paraId="4C553A93">
        <w:trPr>
          <w:jc w:val="center"/>
        </w:trPr>
        <w:tc>
          <w:tcPr>
            <w:tcW w:w="1384" w:type="dxa"/>
          </w:tcPr>
          <w:p w14:paraId="79E2B8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逻辑回归</w:t>
            </w:r>
          </w:p>
        </w:tc>
        <w:tc>
          <w:tcPr>
            <w:tcW w:w="1384" w:type="dxa"/>
          </w:tcPr>
          <w:p w14:paraId="0FE986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0.6582</w:t>
            </w:r>
          </w:p>
        </w:tc>
        <w:tc>
          <w:tcPr>
            <w:tcW w:w="1384" w:type="dxa"/>
          </w:tcPr>
          <w:p w14:paraId="511ABF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0.3241</w:t>
            </w:r>
          </w:p>
        </w:tc>
        <w:tc>
          <w:tcPr>
            <w:tcW w:w="1384" w:type="dxa"/>
          </w:tcPr>
          <w:p w14:paraId="2DA19E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0.6572</w:t>
            </w:r>
          </w:p>
        </w:tc>
        <w:tc>
          <w:tcPr>
            <w:tcW w:w="1384" w:type="dxa"/>
          </w:tcPr>
          <w:p w14:paraId="510C61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0.4341</w:t>
            </w:r>
          </w:p>
        </w:tc>
        <w:tc>
          <w:tcPr>
            <w:tcW w:w="1384" w:type="dxa"/>
          </w:tcPr>
          <w:p w14:paraId="7BC944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0.7189</w:t>
            </w:r>
          </w:p>
        </w:tc>
      </w:tr>
      <w:tr w14:paraId="46A10062">
        <w:trPr>
          <w:jc w:val="center"/>
        </w:trPr>
        <w:tc>
          <w:tcPr>
            <w:tcW w:w="1384" w:type="dxa"/>
          </w:tcPr>
          <w:p w14:paraId="3612EC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随机森林</w:t>
            </w:r>
          </w:p>
        </w:tc>
        <w:tc>
          <w:tcPr>
            <w:tcW w:w="1384" w:type="dxa"/>
          </w:tcPr>
          <w:p w14:paraId="201E53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0.6507</w:t>
            </w:r>
          </w:p>
        </w:tc>
        <w:tc>
          <w:tcPr>
            <w:tcW w:w="1384" w:type="dxa"/>
          </w:tcPr>
          <w:p w14:paraId="5DC636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0.3208</w:t>
            </w:r>
          </w:p>
        </w:tc>
        <w:tc>
          <w:tcPr>
            <w:tcW w:w="1384" w:type="dxa"/>
          </w:tcPr>
          <w:p w14:paraId="10971B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0.6723</w:t>
            </w:r>
          </w:p>
        </w:tc>
        <w:tc>
          <w:tcPr>
            <w:tcW w:w="1384" w:type="dxa"/>
          </w:tcPr>
          <w:p w14:paraId="189069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0.4343</w:t>
            </w:r>
          </w:p>
        </w:tc>
        <w:tc>
          <w:tcPr>
            <w:tcW w:w="1384" w:type="dxa"/>
          </w:tcPr>
          <w:p w14:paraId="3AEBA7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0.7198</w:t>
            </w:r>
          </w:p>
        </w:tc>
      </w:tr>
      <w:tr w14:paraId="4DF374FE">
        <w:trPr>
          <w:jc w:val="center"/>
        </w:trPr>
        <w:tc>
          <w:tcPr>
            <w:tcW w:w="1384" w:type="dxa"/>
          </w:tcPr>
          <w:p w14:paraId="4B3D20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</w:t>
            </w:r>
          </w:p>
        </w:tc>
        <w:tc>
          <w:tcPr>
            <w:tcW w:w="1384" w:type="dxa"/>
          </w:tcPr>
          <w:p w14:paraId="411BA3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0.6559</w:t>
            </w:r>
          </w:p>
        </w:tc>
        <w:tc>
          <w:tcPr>
            <w:tcW w:w="1384" w:type="dxa"/>
          </w:tcPr>
          <w:p w14:paraId="72B239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0.3259</w:t>
            </w:r>
          </w:p>
        </w:tc>
        <w:tc>
          <w:tcPr>
            <w:tcW w:w="1384" w:type="dxa"/>
          </w:tcPr>
          <w:p w14:paraId="164340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0.6785</w:t>
            </w:r>
          </w:p>
        </w:tc>
        <w:tc>
          <w:tcPr>
            <w:tcW w:w="1384" w:type="dxa"/>
          </w:tcPr>
          <w:p w14:paraId="7831F4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0.4403</w:t>
            </w:r>
          </w:p>
        </w:tc>
        <w:tc>
          <w:tcPr>
            <w:tcW w:w="1384" w:type="dxa"/>
          </w:tcPr>
          <w:p w14:paraId="139031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after="20" w:line="240" w:lineRule="auto"/>
              <w:textAlignment w:val="auto"/>
              <w:rPr>
                <w:rFonts w:ascii="verdana" w:hAnsi="verdana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0.7276</w:t>
            </w:r>
          </w:p>
        </w:tc>
      </w:tr>
    </w:tbl>
    <w:p w14:paraId="4733C3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怎么读这张表</w:t>
      </w:r>
      <w:r>
        <w:rPr>
          <w:rFonts w:ascii="verdana" w:hAnsi="verdana" w:eastAsia="宋体"/>
          <w:b w:val="0"/>
          <w:bCs/>
          <w:sz w:val="16"/>
        </w:rPr>
        <w:t>：</w:t>
      </w:r>
    </w:p>
    <w:p w14:paraId="1A691C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AUC 都约 0.72</w:t>
      </w:r>
      <w:r>
        <w:rPr>
          <w:rFonts w:ascii="verdana" w:hAnsi="verdana" w:eastAsia="宋体"/>
          <w:b w:val="0"/>
          <w:bCs/>
          <w:sz w:val="16"/>
        </w:rPr>
        <w:t>：三模型"排序能力"接近，说明信息主要来自特征本身，模型形式差异不大——这是正常的，基线阶段先确认"能打"，W3 再通过调参进一步优化。</w:t>
      </w:r>
    </w:p>
    <w:p w14:paraId="74607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XGBoost 全面小幅领先</w:t>
      </w:r>
      <w:r>
        <w:rPr>
          <w:rFonts w:ascii="verdana" w:hAnsi="verdana" w:eastAsia="宋体"/>
          <w:b w:val="0"/>
          <w:bCs/>
          <w:sz w:val="16"/>
        </w:rPr>
        <w:t>（AUC、F1、召回率均最高），与本项目"主力用 XGB"的预期一致。</w:t>
      </w:r>
    </w:p>
    <w:p w14:paraId="31565A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精确率普遍偏低（~0.32）</w:t>
      </w:r>
      <w:r>
        <w:rPr>
          <w:rFonts w:ascii="verdana" w:hAnsi="verdana" w:eastAsia="宋体"/>
          <w:b w:val="0"/>
          <w:bCs/>
          <w:sz w:val="16"/>
        </w:rPr>
        <w:t>：阈值 0.5 下模型为抓违约者（召回率 0.66–0.68）付出了"误伤大量好人"的代价——见第 7 节混淆矩阵。</w:t>
      </w:r>
    </w:p>
    <w:p w14:paraId="0A391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7. 图形解读</w:t>
      </w:r>
    </w:p>
    <w:p w14:paraId="7381AB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ROC 曲线</w:t>
      </w:r>
      <w:r>
        <w:rPr>
          <w:rFonts w:ascii="verdana" w:hAnsi="verdana" w:eastAsia="宋体"/>
          <w:b w:val="0"/>
          <w:bCs/>
          <w:sz w:val="16"/>
        </w:rPr>
        <w:t>（</w:t>
      </w:r>
      <w:r>
        <w:rPr>
          <w:rFonts w:ascii="verdana" w:hAnsi="verdana" w:eastAsia="宋体"/>
          <w:b w:val="0"/>
          <w:bCs/>
          <w:sz w:val="16"/>
        </w:rPr>
        <w:t>roc_curves.png</w:t>
      </w:r>
      <w:r>
        <w:rPr>
          <w:rFonts w:ascii="verdana" w:hAnsi="verdana" w:eastAsia="宋体"/>
          <w:b w:val="0"/>
          <w:bCs/>
          <w:sz w:val="16"/>
        </w:rPr>
        <w:t>）：三模型曲线几乎重合且明显高于对角线（随机 0.5），说明"排序能力"有真实区分度，但三模型差别不大。XGB 略高，与 AUC 表一致。</w:t>
      </w:r>
    </w:p>
    <w:p w14:paraId="5D9D3F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4161790"/>
            <wp:effectExtent l="0" t="0" r="2159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416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7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color w:val="808080"/>
          <w:sz w:val="16"/>
        </w:rPr>
        <w:t>图 1｜ROC 曲线（验证集，15.97 万人）：横轴 = 误伤率，纵轴 = 召回率；曲线越靠左上越好，三条均明显高于对角虚线（AUC 0.719–0.728）</w:t>
      </w:r>
    </w:p>
    <w:p w14:paraId="1BC8AE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PR 曲线</w:t>
      </w:r>
      <w:r>
        <w:rPr>
          <w:rFonts w:ascii="verdana" w:hAnsi="verdana" w:eastAsia="宋体"/>
          <w:b w:val="0"/>
          <w:bCs/>
          <w:sz w:val="16"/>
        </w:rPr>
        <w:t>（</w:t>
      </w:r>
      <w:r>
        <w:rPr>
          <w:rFonts w:ascii="verdana" w:hAnsi="verdana" w:eastAsia="宋体"/>
          <w:b w:val="0"/>
          <w:bCs/>
          <w:sz w:val="16"/>
        </w:rPr>
        <w:t>pr_curves.png</w:t>
      </w:r>
      <w:r>
        <w:rPr>
          <w:rFonts w:ascii="verdana" w:hAnsi="verdana" w:eastAsia="宋体"/>
          <w:b w:val="0"/>
          <w:bCs/>
          <w:sz w:val="16"/>
        </w:rPr>
        <w:t>）：</w:t>
      </w:r>
    </w:p>
    <w:p w14:paraId="1582C7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类别不平衡下 PR 比 ROC 更敏感（ROC 受大量"好人"稀释，PR 直接看"抓违约者这份名单的质量"）。</w:t>
      </w:r>
    </w:p>
    <w:p w14:paraId="1D4BE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三模型曲线从左到右：左端（高阈值）精确率高、召回率低；右端（低阈值）反之，正是第 5 节"此消彼长"的可视化。</w:t>
      </w:r>
    </w:p>
    <w:p w14:paraId="18B22D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图注说明：</w:t>
      </w:r>
      <w:r>
        <w:rPr>
          <w:rFonts w:ascii="verdana" w:hAnsi="verdana" w:eastAsia="宋体"/>
          <w:b w:val="0"/>
          <w:bCs/>
          <w:sz w:val="16"/>
        </w:rPr>
        <w:t>高分段（recall&lt;1%）只有寥寥几个人被预测为正，精确率是纯统计噪声（如 3 人里对 1 个），故只展示 recall≥1% 区间</w:t>
      </w:r>
      <w:r>
        <w:rPr>
          <w:rFonts w:ascii="verdana" w:hAnsi="verdana" w:eastAsia="宋体"/>
          <w:b w:val="0"/>
          <w:bCs/>
          <w:sz w:val="16"/>
        </w:rPr>
        <w:t>。</w:t>
      </w:r>
    </w:p>
    <w:p w14:paraId="489848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4161790"/>
            <wp:effectExtent l="0" t="0" r="2159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416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E6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color w:val="808080"/>
          <w:sz w:val="16"/>
        </w:rPr>
        <w:t>图 2｜PR 曲线（验证集）：横轴 = 召回率，纵轴 = 精确率；从左到右对应阈值由高到低；高分段样本极少属统计噪声，故只展示召回 ≥1% 区间</w:t>
      </w:r>
    </w:p>
    <w:p w14:paraId="3A8745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混淆矩阵</w:t>
      </w:r>
      <w:r>
        <w:rPr>
          <w:rFonts w:ascii="verdana" w:hAnsi="verdana" w:eastAsia="宋体"/>
          <w:b w:val="0"/>
          <w:bCs/>
          <w:sz w:val="16"/>
        </w:rPr>
        <w:t>（</w:t>
      </w:r>
      <w:r>
        <w:rPr>
          <w:rFonts w:ascii="verdana" w:hAnsi="verdana" w:eastAsia="宋体"/>
          <w:b w:val="0"/>
          <w:bCs/>
          <w:sz w:val="16"/>
        </w:rPr>
        <w:t>confusion_matrix_xgb.png</w:t>
      </w:r>
      <w:r>
        <w:rPr>
          <w:rFonts w:ascii="verdana" w:hAnsi="verdana" w:eastAsia="宋体"/>
          <w:b w:val="0"/>
          <w:bCs/>
          <w:sz w:val="16"/>
        </w:rPr>
        <w:t>，阈值 0.5）：</w:t>
      </w:r>
    </w:p>
    <w:p w14:paraId="7F0E2B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结构：误伤（真实不违约、被判违约）约 4.5 万人，远多于抓对（真实违约、被判违约）约 2.2 万人。</w:t>
      </w:r>
    </w:p>
    <w:p w14:paraId="589A7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这正是精确率低（0.33）的直接原因：抓违约者 → 必然把大量边界上的好人一起抓进来。</w:t>
      </w:r>
    </w:p>
    <w:p w14:paraId="2C88C5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•  业务含义：</w:t>
      </w:r>
      <w:r>
        <w:rPr>
          <w:rFonts w:ascii="verdana" w:hAnsi="verdana" w:eastAsia="宋体"/>
          <w:b w:val="0"/>
          <w:bCs/>
          <w:sz w:val="16"/>
        </w:rPr>
        <w:t>0.5 这个默认阈值对风控太"激进"</w:t>
      </w:r>
      <w:r>
        <w:rPr>
          <w:rFonts w:ascii="verdana" w:hAnsi="verdana" w:eastAsia="宋体"/>
          <w:b w:val="0"/>
          <w:bCs/>
          <w:sz w:val="16"/>
        </w:rPr>
        <w:t>——如果目标是"少放坏账"，可以接受；如果目标是"少误伤好客户"，则需要把阈值调高（正式阈值选择放在阶段 6 业务解读）。</w:t>
      </w:r>
    </w:p>
    <w:p w14:paraId="28C981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4046220"/>
            <wp:effectExtent l="0" t="0" r="21590" b="177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13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color w:val="808080"/>
          <w:sz w:val="16"/>
        </w:rPr>
        <w:t>图 3｜XGBoost 混淆矩阵（验证集，阈值 0.5）：抓对真违约者约 2.2 万、误伤好人约 4.5 万——精确率 0.33 的直接来源</w:t>
      </w:r>
    </w:p>
    <w:p w14:paraId="18671E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8. 业务结论（给业务方的话）</w:t>
      </w:r>
    </w:p>
    <w:p w14:paraId="062C34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1. </w:t>
      </w:r>
      <w:r>
        <w:rPr>
          <w:rFonts w:ascii="verdana" w:hAnsi="verdana" w:eastAsia="宋体"/>
          <w:b w:val="0"/>
          <w:bCs/>
          <w:sz w:val="16"/>
        </w:rPr>
        <w:t>模型有效</w:t>
      </w:r>
      <w:r>
        <w:rPr>
          <w:rFonts w:ascii="verdana" w:hAnsi="verdana" w:eastAsia="宋体"/>
          <w:b w:val="0"/>
          <w:bCs/>
          <w:sz w:val="16"/>
        </w:rPr>
        <w:t>：三模型 AUC ≈ 0.72，说明历史特征能显著区分违约者，可用于辅助风控决策——但还远达不到"直接自动审批"的程度（AUC 0.72 属中等水平，W3 调参后看能否提升）。</w:t>
      </w:r>
    </w:p>
    <w:p w14:paraId="00B066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2. </w:t>
      </w:r>
      <w:r>
        <w:rPr>
          <w:rFonts w:ascii="verdana" w:hAnsi="verdana" w:eastAsia="宋体"/>
          <w:b w:val="0"/>
          <w:bCs/>
          <w:sz w:val="16"/>
        </w:rPr>
        <w:t>最有信息的是贷款条件本身</w:t>
      </w:r>
      <w:r>
        <w:rPr>
          <w:rFonts w:ascii="verdana" w:hAnsi="verdana" w:eastAsia="宋体"/>
          <w:b w:val="0"/>
          <w:bCs/>
          <w:sz w:val="16"/>
        </w:rPr>
        <w:t>：特征工程报告中 subGrade/利率/等级/期限排名前四，与 EDA 互相印证——风控部门可以把等级、利率作为第一道人工防线。</w:t>
      </w:r>
    </w:p>
    <w:p w14:paraId="682371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3. </w:t>
      </w:r>
      <w:r>
        <w:rPr>
          <w:rFonts w:ascii="verdana" w:hAnsi="verdana" w:eastAsia="宋体"/>
          <w:b w:val="0"/>
          <w:bCs/>
          <w:sz w:val="16"/>
        </w:rPr>
        <w:t>阈值不是固定的</w:t>
      </w:r>
      <w:r>
        <w:rPr>
          <w:rFonts w:ascii="verdana" w:hAnsi="verdana" w:eastAsia="宋体"/>
          <w:b w:val="0"/>
          <w:bCs/>
          <w:sz w:val="16"/>
        </w:rPr>
        <w:t>：0.5 只是默认值。业务上"抓坏人 vs 误伤好人"的取舍决定阈值：严审（高阈值，精确率高）适合高风险客群；宽进（低阈值，召回率高）适合需要放量获客的场景。阶段 6 业务解读将给出不同阈值下的精确率/召回率对照，供业务选择。</w:t>
      </w:r>
    </w:p>
    <w:p w14:paraId="0CCD91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4. </w:t>
      </w:r>
      <w:r>
        <w:rPr>
          <w:rFonts w:ascii="verdana" w:hAnsi="verdana" w:eastAsia="宋体"/>
          <w:b w:val="0"/>
          <w:bCs/>
          <w:sz w:val="16"/>
        </w:rPr>
        <w:t>测试集留白</w:t>
      </w:r>
      <w:r>
        <w:rPr>
          <w:rFonts w:ascii="verdana" w:hAnsi="verdana" w:eastAsia="宋体"/>
          <w:b w:val="0"/>
          <w:bCs/>
          <w:sz w:val="16"/>
        </w:rPr>
        <w:t>：当前所有数字都是验证集（样本外）结果，阶段 6 将用从未碰过的 10% 测试集做最终确认，保证数字不虚。</w:t>
      </w:r>
    </w:p>
    <w:p w14:paraId="7CA0F1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9. 局限与下一步</w:t>
      </w:r>
    </w:p>
    <w:p w14:paraId="61766B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局限</w:t>
      </w:r>
      <w:r>
        <w:rPr>
          <w:rFonts w:ascii="verdana" w:hAnsi="verdana" w:eastAsia="宋体"/>
          <w:b w:val="0"/>
          <w:bCs/>
          <w:sz w:val="16"/>
        </w:rPr>
        <w:t>：基线未调参，超参数取默认/保守值（详见第 3 节）；未做特征与阈值的联合优化；匿名特征 n0–n14 无法解释，只能黑箱使用。</w:t>
      </w:r>
    </w:p>
    <w:p w14:paraId="1E9A1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verdana" w:hAnsi="verdana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 xml:space="preserve">•  </w:t>
      </w:r>
      <w:r>
        <w:rPr>
          <w:rFonts w:ascii="verdana" w:hAnsi="verdana" w:eastAsia="宋体"/>
          <w:b w:val="0"/>
          <w:bCs/>
          <w:sz w:val="16"/>
        </w:rPr>
        <w:t>下一步（W3）</w:t>
      </w:r>
      <w:r>
        <w:rPr>
          <w:rFonts w:ascii="verdana" w:hAnsi="verdana" w:eastAsia="宋体"/>
          <w:b w:val="0"/>
          <w:bCs/>
          <w:sz w:val="16"/>
        </w:rPr>
        <w:t>：网格/随机搜索调参 + K 折交叉验证、模型集成（投票/堆叠）、SHAP 特征解释，输出优化后模型与调参记录。</w:t>
      </w:r>
    </w:p>
    <w:sectPr>
      <w:pgSz w:w="11905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verdana">
    <w:panose1 w:val="020B0804030504040204"/>
    <w:charset w:val="00"/>
    <w:family w:val="auto"/>
    <w:pitch w:val="default"/>
    <w:sig w:usb0="A10006FF" w:usb1="4000205B" w:usb2="0000001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FFB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qzuser</cp:lastModifiedBy>
  <dcterms:modified xsi:type="dcterms:W3CDTF">2026-09-14T17:28:05Z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FA15373047EB00B125BEA76AE9420B95_42</vt:lpwstr>
  </property>
</Properties>
</file>