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9E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项目：基于用户历史数据与行为特征的信贷违约预测模型</w:t>
      </w:r>
    </w:p>
    <w:p w14:paraId="7E431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阶段：W2 特征工程（2026/9/7 – 9/13，任务 3.1–3.4）</w:t>
      </w:r>
    </w:p>
    <w:p w14:paraId="4F876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输入：`data/train_clean.csv`（798,498 行 × 47 列，含 isDefault）、`data/testA_clean.csv`</w:t>
      </w:r>
    </w:p>
    <w:p w14:paraId="6320B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输出：`data/train_final.csv`（798,498 行 × 39 列，含 isDefault）、`data/testA_final.csv`</w:t>
      </w:r>
    </w:p>
    <w:p w14:paraId="1D8CC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代码：`scripts/W2/feature_engineering.py`</w:t>
      </w:r>
    </w:p>
    <w:p w14:paraId="338CF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产物：`outputs/W2/feature_importance.csv/.png`、`correlation_heatmap.png`、`correlation_top15.png`</w:t>
      </w:r>
    </w:p>
    <w:p w14:paraId="12BCD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摘要</w:t>
      </w:r>
    </w:p>
    <w:p w14:paraId="32DA6F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原始 47 个字段经编码、变换、创建、选择后，</w:t>
      </w:r>
      <w:r>
        <w:rPr>
          <w:rFonts w:ascii="verdana" w:hAnsi="verdana" w:eastAsia="宋体"/>
          <w:b w:val="0"/>
          <w:bCs/>
          <w:sz w:val="16"/>
        </w:rPr>
        <w:t>最终保留 38 个特征</w:t>
      </w:r>
      <w:r>
        <w:rPr>
          <w:rFonts w:ascii="verdana" w:hAnsi="verdana" w:eastAsia="宋体"/>
          <w:b w:val="0"/>
          <w:bCs/>
          <w:sz w:val="16"/>
        </w:rPr>
        <w:t>进入建模。</w:t>
      </w:r>
    </w:p>
    <w:p w14:paraId="7BF41C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最有信息量的特征来自"</w:t>
      </w:r>
      <w:r>
        <w:rPr>
          <w:rFonts w:ascii="verdana" w:hAnsi="verdana" w:eastAsia="宋体"/>
          <w:b w:val="0"/>
          <w:bCs/>
          <w:sz w:val="16"/>
        </w:rPr>
        <w:t>贷款条件本身</w:t>
      </w:r>
      <w:r>
        <w:rPr>
          <w:rFonts w:ascii="verdana" w:hAnsi="verdana" w:eastAsia="宋体"/>
          <w:b w:val="0"/>
          <w:bCs/>
          <w:sz w:val="16"/>
        </w:rPr>
        <w:t>"：子等级（subGrade）、利率、等级、期限排名前四——与数据探索阶段的结论互相印证。</w:t>
      </w:r>
    </w:p>
    <w:p w14:paraId="5C8C5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全程防数据泄漏：目标编码、标准化、缺失填充都只从训练集学习再应用到测试集，</w:t>
      </w:r>
      <w:r>
        <w:rPr>
          <w:rFonts w:ascii="verdana" w:hAnsi="verdana" w:eastAsia="宋体"/>
          <w:b w:val="0"/>
          <w:bCs/>
          <w:sz w:val="16"/>
        </w:rPr>
        <w:t>保证测试集是模型真正"没见过"的数据</w:t>
      </w:r>
      <w:r>
        <w:rPr>
          <w:rFonts w:ascii="verdana" w:hAnsi="verdana" w:eastAsia="宋体"/>
          <w:b w:val="0"/>
          <w:bCs/>
          <w:sz w:val="16"/>
        </w:rPr>
        <w:t>。</w:t>
      </w:r>
    </w:p>
    <w:p w14:paraId="02BCF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特征选择顺带发现：贷款用途（purpose）的独热列被全部删除，说明该变量单独看对违约预测贡献很小。</w:t>
      </w:r>
    </w:p>
    <w:p w14:paraId="0DC47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特征相关性分析（第 7 节）</w:t>
      </w:r>
      <w:r>
        <w:rPr>
          <w:rFonts w:ascii="verdana" w:hAnsi="verdana" w:eastAsia="宋体"/>
          <w:b w:val="0"/>
          <w:bCs/>
          <w:sz w:val="16"/>
        </w:rPr>
        <w:t>：两种完全不同的方法（与目标的线性相关系数 vs 随机森林分裂贡献）给出的前四名完全一致（子等级、利率、等级、期限），互相印证；同时发现等级/利率/子等级三者高度共线（r≈0.95+），解释时需当作"一组信息"而非三个独立发现。</w:t>
      </w:r>
    </w:p>
    <w:p w14:paraId="72337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总体思路</w:t>
      </w:r>
    </w:p>
    <w:p w14:paraId="265C9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特征工程的目标：</w:t>
      </w:r>
      <w:r>
        <w:rPr>
          <w:rFonts w:ascii="verdana" w:hAnsi="verdana" w:eastAsia="宋体"/>
          <w:b w:val="0"/>
          <w:bCs/>
          <w:sz w:val="16"/>
        </w:rPr>
        <w:t>把原始字段整理成模型"最吃得动"的输入</w:t>
      </w:r>
      <w:r>
        <w:rPr>
          <w:rFonts w:ascii="verdana" w:hAnsi="verdana" w:eastAsia="宋体"/>
          <w:b w:val="0"/>
          <w:bCs/>
          <w:sz w:val="16"/>
        </w:rPr>
        <w:t>。三个动作对应三步：</w:t>
      </w:r>
    </w:p>
    <w:p w14:paraId="2B03D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1. </w:t>
      </w:r>
      <w:r>
        <w:rPr>
          <w:rFonts w:ascii="verdana" w:hAnsi="verdana" w:eastAsia="宋体"/>
          <w:b w:val="0"/>
          <w:bCs/>
          <w:sz w:val="16"/>
        </w:rPr>
        <w:t>统一格式</w:t>
      </w:r>
      <w:r>
        <w:rPr>
          <w:rFonts w:ascii="verdana" w:hAnsi="verdana" w:eastAsia="宋体"/>
          <w:b w:val="0"/>
          <w:bCs/>
          <w:sz w:val="16"/>
        </w:rPr>
        <w:t>（3.1 编码）：把文字类字段变成数字，模型才能算；</w:t>
      </w:r>
    </w:p>
    <w:p w14:paraId="078F18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2. </w:t>
      </w:r>
      <w:r>
        <w:rPr>
          <w:rFonts w:ascii="verdana" w:hAnsi="verdana" w:eastAsia="宋体"/>
          <w:b w:val="0"/>
          <w:bCs/>
          <w:sz w:val="16"/>
        </w:rPr>
        <w:t>统一尺度</w:t>
      </w:r>
      <w:r>
        <w:rPr>
          <w:rFonts w:ascii="verdana" w:hAnsi="verdana" w:eastAsia="宋体"/>
          <w:b w:val="0"/>
          <w:bCs/>
          <w:sz w:val="16"/>
        </w:rPr>
        <w:t>（3.2 变换）：把右偏、量纲差异大的数值拉回"好算"的分布；</w:t>
      </w:r>
    </w:p>
    <w:p w14:paraId="6EEF2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3. </w:t>
      </w:r>
      <w:r>
        <w:rPr>
          <w:rFonts w:ascii="verdana" w:hAnsi="verdana" w:eastAsia="宋体"/>
          <w:b w:val="0"/>
          <w:bCs/>
          <w:sz w:val="16"/>
        </w:rPr>
        <w:t>筛选与组装</w:t>
      </w:r>
      <w:r>
        <w:rPr>
          <w:rFonts w:ascii="verdana" w:hAnsi="verdana" w:eastAsia="宋体"/>
          <w:b w:val="0"/>
          <w:bCs/>
          <w:sz w:val="16"/>
        </w:rPr>
        <w:t>（3.3 + 3.4）：把领域知识变成新特征，再删掉弱特征，只喂给模型最有信息量的数据。</w:t>
      </w:r>
    </w:p>
    <w:p w14:paraId="38D73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每一步都坚持一条底线：</w:t>
      </w:r>
      <w:r>
        <w:rPr>
          <w:rFonts w:ascii="verdana" w:hAnsi="verdana" w:eastAsia="宋体"/>
          <w:b w:val="0"/>
          <w:bCs/>
          <w:sz w:val="16"/>
        </w:rPr>
        <w:t>任何从数据中学到的"规则"（编码映射、标准化参数、填充值）只能从训练集学，再套用到测试集</w:t>
      </w:r>
      <w:r>
        <w:rPr>
          <w:rFonts w:ascii="verdana" w:hAnsi="verdana" w:eastAsia="宋体"/>
          <w:b w:val="0"/>
          <w:bCs/>
          <w:sz w:val="16"/>
        </w:rPr>
        <w:t>，否则测试集的信息会提前泄漏进模型，导致评估虚高（防数据泄漏，详见第 8 节）。</w:t>
      </w:r>
    </w:p>
    <w:p w14:paraId="006EA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删列决策（5 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2"/>
        <w:gridCol w:w="4152"/>
      </w:tblGrid>
      <w:tr w14:paraId="674B9C9B">
        <w:trPr>
          <w:jc w:val="center"/>
        </w:trPr>
        <w:tc>
          <w:tcPr>
            <w:tcW w:w="4152" w:type="dxa"/>
          </w:tcPr>
          <w:p w14:paraId="6403E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列名</w:t>
            </w:r>
          </w:p>
        </w:tc>
        <w:tc>
          <w:tcPr>
            <w:tcW w:w="4152" w:type="dxa"/>
          </w:tcPr>
          <w:p w14:paraId="2225D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删除理由</w:t>
            </w:r>
          </w:p>
        </w:tc>
      </w:tr>
      <w:tr w14:paraId="7EB728F6">
        <w:trPr>
          <w:jc w:val="center"/>
        </w:trPr>
        <w:tc>
          <w:tcPr>
            <w:tcW w:w="4152" w:type="dxa"/>
          </w:tcPr>
          <w:p w14:paraId="13D33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id</w:t>
            </w:r>
          </w:p>
        </w:tc>
        <w:tc>
          <w:tcPr>
            <w:tcW w:w="4152" w:type="dxa"/>
          </w:tcPr>
          <w:p w14:paraId="045DD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纯标识符，无预测信息</w:t>
            </w:r>
          </w:p>
        </w:tc>
      </w:tr>
      <w:tr w14:paraId="282E8A46">
        <w:trPr>
          <w:jc w:val="center"/>
        </w:trPr>
        <w:tc>
          <w:tcPr>
            <w:tcW w:w="4152" w:type="dxa"/>
          </w:tcPr>
          <w:p w14:paraId="2CCFA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policyCode</w:t>
            </w:r>
          </w:p>
        </w:tc>
        <w:tc>
          <w:tcPr>
            <w:tcW w:w="4152" w:type="dxa"/>
          </w:tcPr>
          <w:p w14:paraId="3D369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全表只有一个取值（常量），对模型零贡献</w:t>
            </w:r>
          </w:p>
        </w:tc>
      </w:tr>
      <w:tr w14:paraId="1857CD0E">
        <w:trPr>
          <w:jc w:val="center"/>
        </w:trPr>
        <w:tc>
          <w:tcPr>
            <w:tcW w:w="4152" w:type="dxa"/>
          </w:tcPr>
          <w:p w14:paraId="7E4D0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employmentTitle</w:t>
            </w:r>
          </w:p>
        </w:tc>
        <w:tc>
          <w:tcPr>
            <w:tcW w:w="4152" w:type="dxa"/>
          </w:tcPr>
          <w:p w14:paraId="77188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取值数千个，无统一业务含义，编码后极端稀疏</w:t>
            </w:r>
          </w:p>
        </w:tc>
      </w:tr>
      <w:tr w14:paraId="0821C8A9">
        <w:trPr>
          <w:jc w:val="center"/>
        </w:trPr>
        <w:tc>
          <w:tcPr>
            <w:tcW w:w="4152" w:type="dxa"/>
          </w:tcPr>
          <w:p w14:paraId="0216A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postCode</w:t>
            </w:r>
          </w:p>
        </w:tc>
        <w:tc>
          <w:tcPr>
            <w:tcW w:w="4152" w:type="dxa"/>
          </w:tcPr>
          <w:p w14:paraId="1CD888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邮编前 3 位，取值过多、含地区隐私噪声</w:t>
            </w:r>
          </w:p>
        </w:tc>
      </w:tr>
      <w:tr w14:paraId="455B8180">
        <w:trPr>
          <w:jc w:val="center"/>
        </w:trPr>
        <w:tc>
          <w:tcPr>
            <w:tcW w:w="4152" w:type="dxa"/>
          </w:tcPr>
          <w:p w14:paraId="7EB5A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title</w:t>
            </w:r>
          </w:p>
        </w:tc>
        <w:tc>
          <w:tcPr>
            <w:tcW w:w="4152" w:type="dxa"/>
          </w:tcPr>
          <w:p w14:paraId="67110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借款人自填贷款名称，取值极多、杂乱</w:t>
            </w:r>
          </w:p>
        </w:tc>
      </w:tr>
    </w:tbl>
    <w:p w14:paraId="02591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原则：</w:t>
      </w:r>
      <w:r>
        <w:rPr>
          <w:rFonts w:ascii="verdana" w:hAnsi="verdana" w:eastAsia="宋体"/>
          <w:b w:val="0"/>
          <w:bCs/>
          <w:sz w:val="16"/>
        </w:rPr>
        <w:t>高基数 + 无业务解释价值</w:t>
      </w:r>
      <w:r>
        <w:rPr>
          <w:rFonts w:ascii="verdana" w:hAnsi="verdana" w:eastAsia="宋体"/>
          <w:b w:val="0"/>
          <w:bCs/>
          <w:sz w:val="16"/>
        </w:rPr>
        <w:t>的列不做编码，直接删除；其余类别字段按第 3 节处理。</w:t>
      </w:r>
    </w:p>
    <w:p w14:paraId="14E06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Step 1 类别编码（任务 3.1）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16D54776">
        <w:trPr>
          <w:jc w:val="center"/>
        </w:trPr>
        <w:tc>
          <w:tcPr>
            <w:tcW w:w="2768" w:type="dxa"/>
          </w:tcPr>
          <w:p w14:paraId="4FE4DA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字段</w:t>
            </w:r>
          </w:p>
        </w:tc>
        <w:tc>
          <w:tcPr>
            <w:tcW w:w="2768" w:type="dxa"/>
          </w:tcPr>
          <w:p w14:paraId="4B7933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编码方式</w:t>
            </w:r>
          </w:p>
        </w:tc>
        <w:tc>
          <w:tcPr>
            <w:tcW w:w="2768" w:type="dxa"/>
          </w:tcPr>
          <w:p w14:paraId="3D9DA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说明</w:t>
            </w:r>
          </w:p>
        </w:tc>
      </w:tr>
      <w:tr w14:paraId="044B8370">
        <w:trPr>
          <w:jc w:val="center"/>
        </w:trPr>
        <w:tc>
          <w:tcPr>
            <w:tcW w:w="2768" w:type="dxa"/>
          </w:tcPr>
          <w:p w14:paraId="51F0DE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>（A–G）</w:t>
            </w:r>
          </w:p>
        </w:tc>
        <w:tc>
          <w:tcPr>
            <w:tcW w:w="2768" w:type="dxa"/>
          </w:tcPr>
          <w:p w14:paraId="64788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序数编码 1–7</w:t>
            </w:r>
          </w:p>
        </w:tc>
        <w:tc>
          <w:tcPr>
            <w:tcW w:w="2768" w:type="dxa"/>
          </w:tcPr>
          <w:p w14:paraId="34CA7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等级本身有序（A 最好），且 EDA 已确认违约率随等级单调上升</w:t>
            </w:r>
          </w:p>
        </w:tc>
      </w:tr>
      <w:tr w14:paraId="52DC2817">
        <w:trPr>
          <w:jc w:val="center"/>
        </w:trPr>
        <w:tc>
          <w:tcPr>
            <w:tcW w:w="2768" w:type="dxa"/>
          </w:tcPr>
          <w:p w14:paraId="06F5F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>（A1–G5）</w:t>
            </w:r>
          </w:p>
        </w:tc>
        <w:tc>
          <w:tcPr>
            <w:tcW w:w="2768" w:type="dxa"/>
          </w:tcPr>
          <w:p w14:paraId="346892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序数编码 1–35</w:t>
            </w:r>
          </w:p>
        </w:tc>
        <w:tc>
          <w:tcPr>
            <w:tcW w:w="2768" w:type="dxa"/>
          </w:tcPr>
          <w:p w14:paraId="584F8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35 档有序子等级，比 grade 更细</w:t>
            </w:r>
          </w:p>
        </w:tc>
      </w:tr>
      <w:tr w14:paraId="70590B0C">
        <w:trPr>
          <w:jc w:val="center"/>
        </w:trPr>
        <w:tc>
          <w:tcPr>
            <w:tcW w:w="2768" w:type="dxa"/>
          </w:tcPr>
          <w:p w14:paraId="0CB89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employmentLength</w:t>
            </w:r>
          </w:p>
        </w:tc>
        <w:tc>
          <w:tcPr>
            <w:tcW w:w="2768" w:type="dxa"/>
          </w:tcPr>
          <w:p w14:paraId="78F0A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序数编码（&lt;1 年=0，N 年=N，未知=-1）</w:t>
            </w:r>
          </w:p>
        </w:tc>
        <w:tc>
          <w:tcPr>
            <w:tcW w:w="2768" w:type="dxa"/>
          </w:tcPr>
          <w:p w14:paraId="0D59A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年限有序；"未知"保留为独立取值而不是丢弃</w:t>
            </w:r>
          </w:p>
        </w:tc>
      </w:tr>
      <w:tr w14:paraId="09183E3C">
        <w:trPr>
          <w:jc w:val="center"/>
        </w:trPr>
        <w:tc>
          <w:tcPr>
            <w:tcW w:w="2768" w:type="dxa"/>
          </w:tcPr>
          <w:p w14:paraId="0631C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homeOwnership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 xml:space="preserve"> / 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>verificationStatus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 xml:space="preserve"> / 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>purpose</w:t>
            </w:r>
          </w:p>
        </w:tc>
        <w:tc>
          <w:tcPr>
            <w:tcW w:w="2768" w:type="dxa"/>
          </w:tcPr>
          <w:p w14:paraId="20E4A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独热编码（drop_first=True）</w:t>
            </w:r>
          </w:p>
        </w:tc>
        <w:tc>
          <w:tcPr>
            <w:tcW w:w="2768" w:type="dxa"/>
          </w:tcPr>
          <w:p w14:paraId="516D4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无序类别，不能用序数；drop_first 删基准类，避免计量中的"虚拟变量陷阱"（多重共线性）</w:t>
            </w:r>
          </w:p>
        </w:tc>
      </w:tr>
      <w:tr w14:paraId="142357D6">
        <w:trPr>
          <w:jc w:val="center"/>
        </w:trPr>
        <w:tc>
          <w:tcPr>
            <w:tcW w:w="2768" w:type="dxa"/>
          </w:tcPr>
          <w:p w14:paraId="62D582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regionCode</w:t>
            </w:r>
          </w:p>
        </w:tc>
        <w:tc>
          <w:tcPr>
            <w:tcW w:w="2768" w:type="dxa"/>
          </w:tcPr>
          <w:p w14:paraId="45278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目标编码（= 该地区训练集违约率）</w:t>
            </w:r>
          </w:p>
        </w:tc>
        <w:tc>
          <w:tcPr>
            <w:tcW w:w="2768" w:type="dxa"/>
          </w:tcPr>
          <w:p w14:paraId="0C269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高基数地区变量，独热会太稀疏；用违约率浓缩信息</w:t>
            </w:r>
          </w:p>
        </w:tc>
      </w:tr>
    </w:tbl>
    <w:p w14:paraId="7B05E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关键决策：目标编码只用训练集违约率</w:t>
      </w:r>
      <w:r>
        <w:rPr>
          <w:rFonts w:ascii="verdana" w:hAnsi="verdana" w:eastAsia="宋体"/>
          <w:b w:val="0"/>
          <w:bCs/>
          <w:sz w:val="16"/>
        </w:rPr>
        <w:t>。</w:t>
      </w:r>
      <w:r>
        <w:rPr>
          <w:rFonts w:ascii="verdana" w:hAnsi="verdana" w:eastAsia="宋体"/>
          <w:b w:val="0"/>
          <w:bCs/>
          <w:sz w:val="16"/>
        </w:rPr>
        <w:t>regionCode_enc = 训练集该地区 isDefault 均值</w:t>
      </w:r>
      <w:r>
        <w:rPr>
          <w:rFonts w:ascii="verdana" w:hAnsi="verdana" w:eastAsia="宋体"/>
          <w:b w:val="0"/>
          <w:bCs/>
          <w:sz w:val="16"/>
        </w:rPr>
        <w:t>；测试集出现的未知地区用总体违约率填充。若用全量数据（含测试集）算均值，就是典型的泄漏。</w:t>
      </w:r>
    </w:p>
    <w:p w14:paraId="6E8B2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term</w:t>
      </w:r>
      <w:r>
        <w:rPr>
          <w:rFonts w:ascii="verdana" w:hAnsi="verdana" w:eastAsia="宋体"/>
          <w:b w:val="0"/>
          <w:bCs/>
          <w:sz w:val="16"/>
        </w:rPr>
        <w:t>（36/60 个月）、</w:t>
      </w:r>
      <w:r>
        <w:rPr>
          <w:rFonts w:ascii="verdana" w:hAnsi="verdana" w:eastAsia="宋体"/>
          <w:b w:val="0"/>
          <w:bCs/>
          <w:sz w:val="16"/>
        </w:rPr>
        <w:t>initialListStatus</w:t>
      </w:r>
      <w:r>
        <w:rPr>
          <w:rFonts w:ascii="verdana" w:hAnsi="verdana" w:eastAsia="宋体"/>
          <w:b w:val="0"/>
          <w:bCs/>
          <w:sz w:val="16"/>
        </w:rPr>
        <w:t>、</w:t>
      </w:r>
      <w:r>
        <w:rPr>
          <w:rFonts w:ascii="verdana" w:hAnsi="verdana" w:eastAsia="宋体"/>
          <w:b w:val="0"/>
          <w:bCs/>
          <w:sz w:val="16"/>
        </w:rPr>
        <w:t>applicationType</w:t>
      </w:r>
      <w:r>
        <w:rPr>
          <w:rFonts w:ascii="verdana" w:hAnsi="verdana" w:eastAsia="宋体"/>
          <w:b w:val="0"/>
          <w:bCs/>
          <w:sz w:val="16"/>
        </w:rPr>
        <w:t xml:space="preserve"> 本身就是 0/1 或有序数值，无需额外编码，保留原列。</w:t>
      </w:r>
    </w:p>
    <w:p w14:paraId="51C65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Step 1 产出：</w:t>
      </w:r>
      <w:r>
        <w:rPr>
          <w:rFonts w:ascii="verdana" w:hAnsi="verdana" w:eastAsia="宋体"/>
          <w:b w:val="0"/>
          <w:bCs/>
          <w:sz w:val="16"/>
        </w:rPr>
        <w:t>train_encoded.csv</w:t>
      </w:r>
      <w:r>
        <w:rPr>
          <w:rFonts w:ascii="verdana" w:hAnsi="verdana" w:eastAsia="宋体"/>
          <w:b w:val="0"/>
          <w:bCs/>
          <w:sz w:val="16"/>
        </w:rPr>
        <w:t>（59 列）。</w:t>
      </w:r>
    </w:p>
    <w:p w14:paraId="5C7BD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Step 2 数值变换与标准化（任务 3.2）</w:t>
      </w:r>
    </w:p>
    <w:p w14:paraId="324DE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4-1 log1p 变换右偏金额列</w:t>
      </w:r>
      <w:r>
        <w:rPr>
          <w:rFonts w:ascii="verdana" w:hAnsi="verdana" w:eastAsia="宋体"/>
          <w:b w:val="0"/>
          <w:bCs/>
          <w:sz w:val="16"/>
        </w:rPr>
        <w:t>：</w:t>
      </w:r>
      <w:r>
        <w:rPr>
          <w:rFonts w:ascii="verdana" w:hAnsi="verdana" w:eastAsia="宋体"/>
          <w:b w:val="0"/>
          <w:bCs/>
          <w:sz w:val="16"/>
        </w:rPr>
        <w:t>loanAmnt</w:t>
      </w:r>
      <w:r>
        <w:rPr>
          <w:rFonts w:ascii="verdana" w:hAnsi="verdana" w:eastAsia="宋体"/>
          <w:b w:val="0"/>
          <w:bCs/>
          <w:sz w:val="16"/>
        </w:rPr>
        <w:t>、</w:t>
      </w:r>
      <w:r>
        <w:rPr>
          <w:rFonts w:ascii="verdana" w:hAnsi="verdana" w:eastAsia="宋体"/>
          <w:b w:val="0"/>
          <w:bCs/>
          <w:sz w:val="16"/>
        </w:rPr>
        <w:t>installment</w:t>
      </w:r>
      <w:r>
        <w:rPr>
          <w:rFonts w:ascii="verdana" w:hAnsi="verdana" w:eastAsia="宋体"/>
          <w:b w:val="0"/>
          <w:bCs/>
          <w:sz w:val="16"/>
        </w:rPr>
        <w:t>、</w:t>
      </w:r>
      <w:r>
        <w:rPr>
          <w:rFonts w:ascii="verdana" w:hAnsi="verdana" w:eastAsia="宋体"/>
          <w:b w:val="0"/>
          <w:bCs/>
          <w:sz w:val="16"/>
        </w:rPr>
        <w:t>annualIncome</w:t>
      </w:r>
      <w:r>
        <w:rPr>
          <w:rFonts w:ascii="verdana" w:hAnsi="verdana" w:eastAsia="宋体"/>
          <w:b w:val="0"/>
          <w:bCs/>
          <w:sz w:val="16"/>
        </w:rPr>
        <w:t>、</w:t>
      </w:r>
      <w:r>
        <w:rPr>
          <w:rFonts w:ascii="verdana" w:hAnsi="verdana" w:eastAsia="宋体"/>
          <w:b w:val="0"/>
          <w:bCs/>
          <w:sz w:val="16"/>
        </w:rPr>
        <w:t>revolBal</w:t>
      </w:r>
      <w:r>
        <w:rPr>
          <w:rFonts w:ascii="verdana" w:hAnsi="verdana" w:eastAsia="宋体"/>
          <w:b w:val="0"/>
          <w:bCs/>
          <w:sz w:val="16"/>
        </w:rPr>
        <w:t>。</w:t>
      </w:r>
    </w:p>
    <w:p w14:paraId="18BE9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原因：EDA 已确认这四列严重右偏（少数人金额极高，长尾）。右偏会让模型（尤其线性模型）被极端值牵着走。</w:t>
      </w:r>
    </w:p>
    <w:p w14:paraId="4B04A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log1p(x) = ln(1+x)</w:t>
      </w:r>
      <w:r>
        <w:rPr>
          <w:rFonts w:ascii="verdana" w:hAnsi="verdana" w:eastAsia="宋体"/>
          <w:b w:val="0"/>
          <w:bCs/>
          <w:sz w:val="16"/>
        </w:rPr>
        <w:t>：能压缩长尾、兼容 0 值；W1 EDA 中"收入取 log 后更接近钟形"的对照实验佐证了这一点。</w:t>
      </w:r>
    </w:p>
    <w:p w14:paraId="4D906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4-2 z-score 标准化</w:t>
      </w:r>
      <w:r>
        <w:rPr>
          <w:rFonts w:ascii="verdana" w:hAnsi="verdana" w:eastAsia="宋体"/>
          <w:b w:val="0"/>
          <w:bCs/>
          <w:sz w:val="16"/>
        </w:rPr>
        <w:t xml:space="preserve">：对连续数值列统一 </w:t>
      </w:r>
      <w:r>
        <w:rPr>
          <w:rFonts w:ascii="verdana" w:hAnsi="verdana" w:eastAsia="宋体"/>
          <w:b w:val="0"/>
          <w:bCs/>
          <w:sz w:val="16"/>
        </w:rPr>
        <w:t>(x - 均值) / 标准差</w:t>
      </w:r>
      <w:r>
        <w:rPr>
          <w:rFonts w:ascii="verdana" w:hAnsi="verdana" w:eastAsia="宋体"/>
          <w:b w:val="0"/>
          <w:bCs/>
          <w:sz w:val="16"/>
        </w:rPr>
        <w:t>。</w:t>
      </w:r>
    </w:p>
    <w:p w14:paraId="3DDBB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•  原因：不同字段量纲差异大（贷款金额十万级 vs 逾期次数个位数），线性回归/逻辑回归对量纲敏感。</w:t>
      </w:r>
    </w:p>
    <w:p w14:paraId="0C705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不缩放</w:t>
      </w:r>
      <w:r>
        <w:rPr>
          <w:rFonts w:ascii="verdana" w:hAnsi="verdana" w:eastAsia="宋体"/>
          <w:b w:val="0"/>
          <w:bCs/>
          <w:sz w:val="16"/>
        </w:rPr>
        <w:t xml:space="preserve">：目标变量 </w:t>
      </w:r>
      <w:r>
        <w:rPr>
          <w:rFonts w:ascii="verdana" w:hAnsi="verdana" w:eastAsia="宋体"/>
          <w:b w:val="0"/>
          <w:bCs/>
          <w:sz w:val="16"/>
        </w:rPr>
        <w:t>isDefault</w:t>
      </w:r>
      <w:r>
        <w:rPr>
          <w:rFonts w:ascii="verdana" w:hAnsi="verdana" w:eastAsia="宋体"/>
          <w:b w:val="0"/>
          <w:bCs/>
          <w:sz w:val="16"/>
        </w:rPr>
        <w:t>、0/1 二值列、时间字符串列（时间列在第 5 节专门处理）。</w:t>
      </w:r>
    </w:p>
    <w:p w14:paraId="4D51B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只 fit 训练集</w:t>
      </w:r>
      <w:r>
        <w:rPr>
          <w:rFonts w:ascii="verdana" w:hAnsi="verdana" w:eastAsia="宋体"/>
          <w:b w:val="0"/>
          <w:bCs/>
          <w:sz w:val="16"/>
        </w:rPr>
        <w:t>，再 transform 训练/测试集（防泄漏）。</w:t>
      </w:r>
    </w:p>
    <w:p w14:paraId="1A24B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Step 2 产出：</w:t>
      </w:r>
      <w:r>
        <w:rPr>
          <w:rFonts w:ascii="verdana" w:hAnsi="verdana" w:eastAsia="宋体"/>
          <w:b w:val="0"/>
          <w:bCs/>
          <w:sz w:val="16"/>
        </w:rPr>
        <w:t>train_scaled.csv</w:t>
      </w:r>
      <w:r>
        <w:rPr>
          <w:rFonts w:ascii="verdana" w:hAnsi="verdana" w:eastAsia="宋体"/>
          <w:b w:val="0"/>
          <w:bCs/>
          <w:sz w:val="16"/>
        </w:rPr>
        <w:t>。</w:t>
      </w:r>
    </w:p>
    <w:p w14:paraId="1D1783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 Step 3 特征创建（任务 3.3）</w:t>
      </w:r>
    </w:p>
    <w:p w14:paraId="66F20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原则：</w:t>
      </w:r>
      <w:r>
        <w:rPr>
          <w:rFonts w:ascii="verdana" w:hAnsi="verdana" w:eastAsia="宋体"/>
          <w:b w:val="0"/>
          <w:bCs/>
          <w:sz w:val="16"/>
        </w:rPr>
        <w:t>每个新特征都要能说出一句业务理由</w:t>
      </w:r>
      <w:r>
        <w:rPr>
          <w:rFonts w:ascii="verdana" w:hAnsi="verdana" w:eastAsia="宋体"/>
          <w:b w:val="0"/>
          <w:bCs/>
          <w:sz w:val="16"/>
        </w:rPr>
        <w:t>，不为了加而加。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783CEECE">
        <w:trPr>
          <w:jc w:val="center"/>
        </w:trPr>
        <w:tc>
          <w:tcPr>
            <w:tcW w:w="2768" w:type="dxa"/>
          </w:tcPr>
          <w:p w14:paraId="780BB8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新特征</w:t>
            </w:r>
          </w:p>
        </w:tc>
        <w:tc>
          <w:tcPr>
            <w:tcW w:w="2768" w:type="dxa"/>
          </w:tcPr>
          <w:p w14:paraId="121AA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公式</w:t>
            </w:r>
          </w:p>
        </w:tc>
        <w:tc>
          <w:tcPr>
            <w:tcW w:w="2768" w:type="dxa"/>
          </w:tcPr>
          <w:p w14:paraId="1153E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业务理由</w:t>
            </w:r>
          </w:p>
        </w:tc>
      </w:tr>
      <w:tr w14:paraId="3E7344E0">
        <w:trPr>
          <w:jc w:val="center"/>
        </w:trPr>
        <w:tc>
          <w:tcPr>
            <w:tcW w:w="2768" w:type="dxa"/>
          </w:tcPr>
          <w:p w14:paraId="614A6F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fico_avg</w:t>
            </w:r>
          </w:p>
        </w:tc>
        <w:tc>
          <w:tcPr>
            <w:tcW w:w="2768" w:type="dxa"/>
          </w:tcPr>
          <w:p w14:paraId="174B65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(ficoRangeLow + ficoRangeHigh) / 2</w:t>
            </w:r>
          </w:p>
        </w:tc>
        <w:tc>
          <w:tcPr>
            <w:tcW w:w="2768" w:type="dxa"/>
          </w:tcPr>
          <w:p w14:paraId="579D0F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上下限是同一评分的区间表示，合并成一个值</w:t>
            </w:r>
          </w:p>
        </w:tc>
      </w:tr>
      <w:tr w14:paraId="01B7FF98">
        <w:trPr>
          <w:jc w:val="center"/>
        </w:trPr>
        <w:tc>
          <w:tcPr>
            <w:tcW w:w="2768" w:type="dxa"/>
          </w:tcPr>
          <w:p w14:paraId="29E8B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credit_history_years</w:t>
            </w:r>
          </w:p>
        </w:tc>
        <w:tc>
          <w:tcPr>
            <w:tcW w:w="2768" w:type="dxa"/>
          </w:tcPr>
          <w:p w14:paraId="06A04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发放年份 − 最早开卡年份</w:t>
            </w:r>
          </w:p>
        </w:tc>
        <w:tc>
          <w:tcPr>
            <w:tcW w:w="2768" w:type="dxa"/>
          </w:tcPr>
          <w:p w14:paraId="0EA95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信用历史越长通常越可信；中位数 15 年</w:t>
            </w:r>
          </w:p>
        </w:tc>
      </w:tr>
      <w:tr w14:paraId="465BF37F">
        <w:trPr>
          <w:jc w:val="center"/>
        </w:trPr>
        <w:tc>
          <w:tcPr>
            <w:tcW w:w="2768" w:type="dxa"/>
          </w:tcPr>
          <w:p w14:paraId="753AA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installment_income_ratio</w:t>
            </w:r>
          </w:p>
        </w:tc>
        <w:tc>
          <w:tcPr>
            <w:tcW w:w="2768" w:type="dxa"/>
          </w:tcPr>
          <w:p w14:paraId="609F02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log(月供×12) − log(年收入)</w:t>
            </w:r>
          </w:p>
        </w:tc>
        <w:tc>
          <w:tcPr>
            <w:tcW w:w="2768" w:type="dxa"/>
          </w:tcPr>
          <w:p w14:paraId="62ABF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月供压力 = 每月还款占收入比重，衡量"还不起"的风险</w:t>
            </w:r>
          </w:p>
        </w:tc>
      </w:tr>
      <w:tr w14:paraId="0E31096D">
        <w:trPr>
          <w:jc w:val="center"/>
        </w:trPr>
        <w:tc>
          <w:tcPr>
            <w:tcW w:w="2768" w:type="dxa"/>
          </w:tcPr>
          <w:p w14:paraId="55E6B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grade_dti_inter</w:t>
            </w:r>
          </w:p>
        </w:tc>
        <w:tc>
          <w:tcPr>
            <w:tcW w:w="2768" w:type="dxa"/>
          </w:tcPr>
          <w:p w14:paraId="116C9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 × dti</w:t>
            </w:r>
          </w:p>
        </w:tc>
        <w:tc>
          <w:tcPr>
            <w:tcW w:w="2768" w:type="dxa"/>
          </w:tcPr>
          <w:p w14:paraId="6A7E6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交互项（计量思想）：高等级（差）且高负债，风险叠加</w:t>
            </w:r>
          </w:p>
        </w:tc>
      </w:tr>
      <w:tr w14:paraId="0F6926E9">
        <w:trPr>
          <w:jc w:val="center"/>
        </w:trPr>
        <w:tc>
          <w:tcPr>
            <w:tcW w:w="2768" w:type="dxa"/>
          </w:tcPr>
          <w:p w14:paraId="26D1C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interest_loan_inter</w:t>
            </w:r>
          </w:p>
        </w:tc>
        <w:tc>
          <w:tcPr>
            <w:tcW w:w="2768" w:type="dxa"/>
          </w:tcPr>
          <w:p w14:paraId="4B910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 × log(loanAmnt)</w:t>
            </w:r>
          </w:p>
        </w:tc>
        <w:tc>
          <w:tcPr>
            <w:tcW w:w="2768" w:type="dxa"/>
          </w:tcPr>
          <w:p w14:paraId="2968D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高利率 × 大金额，可能是高风险组合</w:t>
            </w:r>
          </w:p>
        </w:tc>
      </w:tr>
    </w:tbl>
    <w:p w14:paraId="1B7A1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新特征同样只 fit 训练集标准化后统一尺度。</w:t>
      </w:r>
    </w:p>
    <w:p w14:paraId="68825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6. Step 4 特征选择（任务 3.4）</w:t>
      </w:r>
    </w:p>
    <w:p w14:paraId="4E5B79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用两种方法交叉判断（包装法 RFE 计算代价高，暂不采用；过滤法 + 嵌入法已交叉验证）：</w:t>
      </w:r>
    </w:p>
    <w:p w14:paraId="69DB87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4-1 过滤法</w:t>
      </w:r>
      <w:r>
        <w:rPr>
          <w:rFonts w:ascii="verdana" w:hAnsi="verdana" w:eastAsia="宋体"/>
          <w:b w:val="0"/>
          <w:bCs/>
          <w:sz w:val="16"/>
        </w:rPr>
        <w:t xml:space="preserve">：每个特征与 </w:t>
      </w:r>
      <w:r>
        <w:rPr>
          <w:rFonts w:ascii="verdana" w:hAnsi="verdana" w:eastAsia="宋体"/>
          <w:b w:val="0"/>
          <w:bCs/>
          <w:sz w:val="16"/>
        </w:rPr>
        <w:t>isDefault</w:t>
      </w:r>
      <w:r>
        <w:rPr>
          <w:rFonts w:ascii="verdana" w:hAnsi="verdana" w:eastAsia="宋体"/>
          <w:b w:val="0"/>
          <w:bCs/>
          <w:sz w:val="16"/>
        </w:rPr>
        <w:t xml:space="preserve"> 的相关系数（绝对值）——单变量信号，快但只看"一对一"关系。相关系数 Top 5：subGrade_enc 0.268、grade_enc 0.262、interestRate 0.259、term 0.175、fico_avg 0.131（完整排名与特征之间的共线性结构见第 7 节）。</w:t>
      </w:r>
    </w:p>
    <w:p w14:paraId="71457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4-2 嵌入法</w:t>
      </w:r>
      <w:r>
        <w:rPr>
          <w:rFonts w:ascii="verdana" w:hAnsi="verdana" w:eastAsia="宋体"/>
          <w:b w:val="0"/>
          <w:bCs/>
          <w:sz w:val="16"/>
        </w:rPr>
        <w:t>：随机森林特征重要性——树模型分裂时按"基尼不纯度下降量"累计贡献（80 万行，约 1–3 分钟）。</w:t>
      </w:r>
    </w:p>
    <w:p w14:paraId="03337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4-3 决策规则</w:t>
      </w:r>
      <w:r>
        <w:rPr>
          <w:rFonts w:ascii="verdana" w:hAnsi="verdana" w:eastAsia="宋体"/>
          <w:b w:val="0"/>
          <w:bCs/>
          <w:sz w:val="16"/>
        </w:rPr>
        <w:t>：保留"重要性 ≥ 均值 × 1/10"的特征，低于阈值的尾部弱特征删除。</w:t>
      </w:r>
    </w:p>
    <w:p w14:paraId="3B3CE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结果：</w:t>
      </w:r>
      <w:r>
        <w:rPr>
          <w:rFonts w:ascii="verdana" w:hAnsi="verdana" w:eastAsia="宋体"/>
          <w:b w:val="0"/>
          <w:bCs/>
          <w:sz w:val="16"/>
        </w:rPr>
        <w:t>60 列（含标签）→ 保留 38 个特征</w:t>
      </w:r>
      <w:r>
        <w:rPr>
          <w:rFonts w:ascii="verdana" w:hAnsi="verdana" w:eastAsia="宋体"/>
          <w:b w:val="0"/>
          <w:bCs/>
          <w:sz w:val="16"/>
        </w:rPr>
        <w:t>（删除 21 个弱特征）。删除清单：purpose 独热列 13 个</w:t>
      </w:r>
      <w:r>
        <w:rPr>
          <w:rFonts w:ascii="verdana" w:hAnsi="verdana" w:eastAsia="宋体"/>
          <w:b w:val="0"/>
          <w:bCs/>
          <w:sz w:val="16"/>
        </w:rPr>
        <w:t>全部删除</w:t>
      </w:r>
      <w:r>
        <w:rPr>
          <w:rFonts w:ascii="verdana" w:hAnsi="verdana" w:eastAsia="宋体"/>
          <w:b w:val="0"/>
          <w:bCs/>
          <w:sz w:val="16"/>
        </w:rPr>
        <w:t>、homeOwnership 独热列删 4 留 1、applicationType、匿名特征 n11–n13。</w:t>
      </w:r>
    </w:p>
    <w:p w14:paraId="07BD4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两个发现</w:t>
      </w:r>
      <w:r>
        <w:rPr>
          <w:rFonts w:ascii="verdana" w:hAnsi="verdana" w:eastAsia="宋体"/>
          <w:b w:val="0"/>
          <w:bCs/>
          <w:sz w:val="16"/>
        </w:rPr>
        <w:t xml:space="preserve">：① 被删的主要是"独热编码产生的小类别列"——样本占比小、单列信息量低；② </w:t>
      </w:r>
      <w:r>
        <w:rPr>
          <w:rFonts w:ascii="verdana" w:hAnsi="verdana" w:eastAsia="宋体"/>
          <w:b w:val="0"/>
          <w:bCs/>
          <w:sz w:val="16"/>
        </w:rPr>
        <w:t>purpose</w:t>
      </w:r>
      <w:r>
        <w:rPr>
          <w:rFonts w:ascii="verdana" w:hAnsi="verdana" w:eastAsia="宋体"/>
          <w:b w:val="0"/>
          <w:bCs/>
          <w:sz w:val="16"/>
        </w:rPr>
        <w:t>（贷款用途）的独热列被全部删除，说明该变量单独看对违约预测贡献很小（可能已被利率、等级等特征吸收），这是特征选择给出的可写进报告的客观结论。</w:t>
      </w:r>
    </w:p>
    <w:p w14:paraId="5067C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特征重要性 Top 5</w:t>
      </w:r>
      <w:r>
        <w:rPr>
          <w:rFonts w:ascii="verdana" w:hAnsi="verdana" w:eastAsia="宋体"/>
          <w:b w:val="0"/>
          <w:bCs/>
          <w:sz w:val="16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2"/>
        <w:gridCol w:w="4152"/>
      </w:tblGrid>
      <w:tr w14:paraId="0E9E12B6">
        <w:trPr>
          <w:jc w:val="center"/>
        </w:trPr>
        <w:tc>
          <w:tcPr>
            <w:tcW w:w="4152" w:type="dxa"/>
          </w:tcPr>
          <w:p w14:paraId="006523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</w:t>
            </w:r>
          </w:p>
        </w:tc>
        <w:tc>
          <w:tcPr>
            <w:tcW w:w="4152" w:type="dxa"/>
          </w:tcPr>
          <w:p w14:paraId="7DC9D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重要性</w:t>
            </w:r>
          </w:p>
        </w:tc>
      </w:tr>
      <w:tr w14:paraId="1A7F3F9E">
        <w:trPr>
          <w:jc w:val="center"/>
        </w:trPr>
        <w:tc>
          <w:tcPr>
            <w:tcW w:w="4152" w:type="dxa"/>
          </w:tcPr>
          <w:p w14:paraId="5EAEF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</w:t>
            </w:r>
          </w:p>
        </w:tc>
        <w:tc>
          <w:tcPr>
            <w:tcW w:w="4152" w:type="dxa"/>
          </w:tcPr>
          <w:p w14:paraId="71D54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0.188</w:t>
            </w:r>
          </w:p>
        </w:tc>
      </w:tr>
      <w:tr w14:paraId="33878A6D">
        <w:trPr>
          <w:jc w:val="center"/>
        </w:trPr>
        <w:tc>
          <w:tcPr>
            <w:tcW w:w="4152" w:type="dxa"/>
          </w:tcPr>
          <w:p w14:paraId="77718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</w:t>
            </w:r>
          </w:p>
        </w:tc>
        <w:tc>
          <w:tcPr>
            <w:tcW w:w="4152" w:type="dxa"/>
          </w:tcPr>
          <w:p w14:paraId="0E722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0.134</w:t>
            </w:r>
          </w:p>
        </w:tc>
      </w:tr>
      <w:tr w14:paraId="581CF8BF">
        <w:trPr>
          <w:jc w:val="center"/>
        </w:trPr>
        <w:tc>
          <w:tcPr>
            <w:tcW w:w="4152" w:type="dxa"/>
          </w:tcPr>
          <w:p w14:paraId="2597B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</w:t>
            </w:r>
          </w:p>
        </w:tc>
        <w:tc>
          <w:tcPr>
            <w:tcW w:w="4152" w:type="dxa"/>
          </w:tcPr>
          <w:p w14:paraId="5D44C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0.109</w:t>
            </w:r>
          </w:p>
        </w:tc>
      </w:tr>
      <w:tr w14:paraId="582C099C">
        <w:trPr>
          <w:jc w:val="center"/>
        </w:trPr>
        <w:tc>
          <w:tcPr>
            <w:tcW w:w="4152" w:type="dxa"/>
          </w:tcPr>
          <w:p w14:paraId="33965A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term</w:t>
            </w:r>
          </w:p>
        </w:tc>
        <w:tc>
          <w:tcPr>
            <w:tcW w:w="4152" w:type="dxa"/>
          </w:tcPr>
          <w:p w14:paraId="38316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0.069</w:t>
            </w:r>
          </w:p>
        </w:tc>
      </w:tr>
      <w:tr w14:paraId="5F755E4E">
        <w:trPr>
          <w:jc w:val="center"/>
        </w:trPr>
        <w:tc>
          <w:tcPr>
            <w:tcW w:w="4152" w:type="dxa"/>
          </w:tcPr>
          <w:p w14:paraId="0B4A6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grade_dti_inter</w:t>
            </w:r>
          </w:p>
        </w:tc>
        <w:tc>
          <w:tcPr>
            <w:tcW w:w="4152" w:type="dxa"/>
          </w:tcPr>
          <w:p w14:paraId="72BB00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0.045</w:t>
            </w:r>
          </w:p>
        </w:tc>
      </w:tr>
    </w:tbl>
    <w:p w14:paraId="30AE1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3884295"/>
            <wp:effectExtent l="0" t="0" r="215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38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A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>图 1｜随机森林特征重要性（Top 20）：柱长 = 对预测的贡献占比（全表归一为 1）；前四为 subGrade_enc、interestRate、grade_enc、term</w:t>
      </w:r>
    </w:p>
    <w:p w14:paraId="19B14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业务解读</w:t>
      </w:r>
      <w:r>
        <w:rPr>
          <w:rFonts w:ascii="verdana" w:hAnsi="verdana" w:eastAsia="宋体"/>
          <w:b w:val="0"/>
          <w:bCs/>
          <w:sz w:val="16"/>
        </w:rPr>
        <w:t>：Top 特征全是"贷款定价与信用等级"类（利率、等级、期限），说明</w:t>
      </w:r>
      <w:r>
        <w:rPr>
          <w:rFonts w:ascii="verdana" w:hAnsi="verdana" w:eastAsia="宋体"/>
          <w:b w:val="0"/>
          <w:bCs/>
          <w:sz w:val="16"/>
        </w:rPr>
        <w:t>贷款本身的条件里已经浓缩了大量风险信息</w:t>
      </w:r>
      <w:r>
        <w:rPr>
          <w:rFonts w:ascii="verdana" w:hAnsi="verdana" w:eastAsia="宋体"/>
          <w:b w:val="0"/>
          <w:bCs/>
          <w:sz w:val="16"/>
        </w:rPr>
        <w:t>——这与 W1 EDA 的发现（等级 A→G 违约率单调上升）完全一致，互相印证。</w:t>
      </w:r>
    </w:p>
    <w:p w14:paraId="23D37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Step 4 产出：</w:t>
      </w:r>
      <w:r>
        <w:rPr>
          <w:rFonts w:ascii="verdana" w:hAnsi="verdana" w:eastAsia="宋体"/>
          <w:b w:val="0"/>
          <w:bCs/>
          <w:sz w:val="16"/>
        </w:rPr>
        <w:t>train_final.csv</w:t>
      </w:r>
      <w:r>
        <w:rPr>
          <w:rFonts w:ascii="verdana" w:hAnsi="verdana" w:eastAsia="宋体"/>
          <w:b w:val="0"/>
          <w:bCs/>
          <w:sz w:val="16"/>
        </w:rPr>
        <w:t>（39 列）、</w:t>
      </w:r>
      <w:r>
        <w:rPr>
          <w:rFonts w:ascii="verdana" w:hAnsi="verdana" w:eastAsia="宋体"/>
          <w:b w:val="0"/>
          <w:bCs/>
          <w:sz w:val="16"/>
        </w:rPr>
        <w:t>testA_final.csv</w:t>
      </w:r>
      <w:r>
        <w:rPr>
          <w:rFonts w:ascii="verdana" w:hAnsi="verdana" w:eastAsia="宋体"/>
          <w:b w:val="0"/>
          <w:bCs/>
          <w:sz w:val="16"/>
        </w:rPr>
        <w:t>（38 列）、</w:t>
      </w:r>
      <w:r>
        <w:rPr>
          <w:rFonts w:ascii="verdana" w:hAnsi="verdana" w:eastAsia="宋体"/>
          <w:b w:val="0"/>
          <w:bCs/>
          <w:sz w:val="16"/>
        </w:rPr>
        <w:t>outputs/W2/feature_importance.csv</w:t>
      </w:r>
      <w:r>
        <w:rPr>
          <w:rFonts w:ascii="verdana" w:hAnsi="verdana" w:eastAsia="宋体"/>
          <w:b w:val="0"/>
          <w:bCs/>
          <w:sz w:val="16"/>
        </w:rPr>
        <w:t xml:space="preserve"> 与 </w:t>
      </w:r>
      <w:r>
        <w:rPr>
          <w:rFonts w:ascii="verdana" w:hAnsi="verdana" w:eastAsia="宋体"/>
          <w:b w:val="0"/>
          <w:bCs/>
          <w:sz w:val="16"/>
        </w:rPr>
        <w:t>feature_importance.png</w:t>
      </w:r>
      <w:r>
        <w:rPr>
          <w:rFonts w:ascii="verdana" w:hAnsi="verdana" w:eastAsia="宋体"/>
          <w:b w:val="0"/>
          <w:bCs/>
          <w:sz w:val="16"/>
        </w:rPr>
        <w:t>（图 1）。</w:t>
      </w:r>
    </w:p>
    <w:p w14:paraId="2E6A3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7. 特征相关性分析</w:t>
      </w:r>
    </w:p>
    <w:p w14:paraId="2B7F65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第 6 节回答的是"每个特征单独有多大用"，本节再补一层：</w:t>
      </w:r>
      <w:r>
        <w:rPr>
          <w:rFonts w:ascii="verdana" w:hAnsi="verdana" w:eastAsia="宋体"/>
          <w:b w:val="0"/>
          <w:bCs/>
          <w:sz w:val="16"/>
        </w:rPr>
        <w:t>特征之间彼此重叠多少</w:t>
      </w:r>
      <w:r>
        <w:rPr>
          <w:rFonts w:ascii="verdana" w:hAnsi="verdana" w:eastAsia="宋体"/>
          <w:b w:val="0"/>
          <w:bCs/>
          <w:sz w:val="16"/>
        </w:rPr>
        <w:t>（多重共线性），以及这对我们的模型意味着什么。代码：</w:t>
      </w:r>
      <w:r>
        <w:rPr>
          <w:rFonts w:ascii="verdana" w:hAnsi="verdana" w:eastAsia="宋体"/>
          <w:b w:val="0"/>
          <w:bCs/>
          <w:sz w:val="16"/>
        </w:rPr>
        <w:t>scripts/W2/correlation_analysis.py</w:t>
      </w:r>
      <w:r>
        <w:rPr>
          <w:rFonts w:ascii="verdana" w:hAnsi="verdana" w:eastAsia="宋体"/>
          <w:b w:val="0"/>
          <w:bCs/>
          <w:sz w:val="16"/>
        </w:rPr>
        <w:t>；基于最终 38 个建模特征（金额列已 log 变换、连续列已标准化）。</w:t>
      </w:r>
    </w:p>
    <w:p w14:paraId="18B8BF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先说明一点，避免误读：本节两张图都只是展示窗口，不是特征筛选规则——图 2 是全量矩阵（38 个特征 + 违约标签，共 39×39 格），用来看整体结构；图 3 把与违约相关性最高的 Top 15 特征单独放大，便于读格内数值。</w:t>
      </w:r>
      <w:r>
        <w:rPr>
          <w:rFonts w:ascii="verdana" w:hAnsi="verdana" w:eastAsia="宋体"/>
          <w:b w:val="0"/>
          <w:bCs/>
          <w:sz w:val="16"/>
        </w:rPr>
      </w:r>
      <w:r>
        <w:rPr>
          <w:rFonts w:ascii="verdana" w:hAnsi="verdana" w:eastAsia="宋体"/>
          <w:b w:val="0"/>
          <w:bCs/>
          <w:sz w:val="16"/>
        </w:rPr>
      </w:r>
      <w:r>
        <w:rPr>
          <w:rFonts w:ascii="verdana" w:hAnsi="verdana" w:eastAsia="宋体"/>
          <w:b w:val="0"/>
          <w:bCs/>
          <w:sz w:val="16"/>
        </w:rPr>
      </w:r>
      <w:r>
        <w:rPr>
          <w:rFonts w:hint="eastAsia" w:ascii="verdana" w:hAnsi="verdana"/>
          <w:b w:val="0"/>
          <w:bCs/>
          <w:sz w:val="16"/>
          <w:lang w:val="en-US" w:eastAsia="zh-CN"/>
        </w:rPr>
      </w:r>
      <w:r>
        <w:rPr>
          <w:rFonts w:ascii="verdana" w:hAnsi="verdana" w:eastAsia="宋体"/>
          <w:b w:val="0"/>
          <w:bCs/>
          <w:sz w:val="16"/>
        </w:rPr>
      </w:r>
      <w:r>
        <w:rPr>
          <w:rFonts w:ascii="verdana" w:hAnsi="verdana" w:eastAsia="宋体"/>
          <w:b w:val="0"/>
          <w:bCs/>
          <w:sz w:val="16"/>
        </w:rPr>
      </w:r>
      <w:r>
        <w:rPr>
          <w:rFonts w:ascii="verdana" w:hAnsi="verdana" w:eastAsia="宋体"/>
          <w:b w:val="0"/>
          <w:bCs/>
          <w:sz w:val="16"/>
        </w:rPr>
      </w:r>
    </w:p>
    <w:p w14:paraId="3F088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7-1 与目标变量的相关性（单变量信号）</w:t>
      </w:r>
      <w:r>
        <w:rPr>
          <w:rFonts w:ascii="verdana" w:hAnsi="verdana" w:eastAsia="宋体"/>
          <w:b w:val="0"/>
          <w:bCs/>
          <w:sz w:val="16"/>
        </w:rPr>
        <w:t xml:space="preserve">：逐个算每个特征与 </w:t>
      </w:r>
      <w:r>
        <w:rPr>
          <w:rFonts w:ascii="verdana" w:hAnsi="verdana" w:eastAsia="宋体"/>
          <w:b w:val="0"/>
          <w:bCs/>
          <w:sz w:val="16"/>
        </w:rPr>
        <w:t>isDefault</w:t>
      </w:r>
      <w:r>
        <w:rPr>
          <w:rFonts w:ascii="verdana" w:hAnsi="verdana" w:eastAsia="宋体"/>
          <w:b w:val="0"/>
          <w:bCs/>
          <w:sz w:val="16"/>
        </w:rPr>
        <w:t xml:space="preserve"> 的 Pearson 相关系数（0/1 独热列与目标的相关等于点二列相关，量级可比）：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256"/>
        <w:gridCol w:w="2076"/>
        <w:gridCol w:w="2076"/>
      </w:tblGrid>
      <w:tr w14:paraId="4386E494">
        <w:trPr>
          <w:jc w:val="center"/>
        </w:trPr>
        <w:tc>
          <w:tcPr>
            <w:tcW w:w="2076" w:type="dxa"/>
          </w:tcPr>
          <w:p w14:paraId="100C3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排名</w:t>
            </w:r>
          </w:p>
        </w:tc>
        <w:tc>
          <w:tcPr>
            <w:tcW w:w="2076" w:type="dxa"/>
          </w:tcPr>
          <w:p w14:paraId="1F29C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</w:t>
            </w:r>
          </w:p>
        </w:tc>
        <w:tc>
          <w:tcPr>
            <w:tcW w:w="2076" w:type="dxa"/>
          </w:tcPr>
          <w:p w14:paraId="6BB0F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相关系数</w:t>
            </w:r>
          </w:p>
        </w:tc>
        <w:tc>
          <w:tcPr>
            <w:tcW w:w="2076" w:type="dxa"/>
          </w:tcPr>
          <w:p w14:paraId="3C617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业务含义</w:t>
            </w:r>
          </w:p>
        </w:tc>
      </w:tr>
      <w:tr w14:paraId="30DFD15D">
        <w:trPr>
          <w:jc w:val="center"/>
        </w:trPr>
        <w:tc>
          <w:tcPr>
            <w:tcW w:w="2076" w:type="dxa"/>
          </w:tcPr>
          <w:p w14:paraId="10D853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</w:t>
            </w:r>
          </w:p>
        </w:tc>
        <w:tc>
          <w:tcPr>
            <w:tcW w:w="2076" w:type="dxa"/>
          </w:tcPr>
          <w:p w14:paraId="6A4EA1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subGrade_enc（子等级）</w:t>
            </w:r>
          </w:p>
        </w:tc>
        <w:tc>
          <w:tcPr>
            <w:tcW w:w="2076" w:type="dxa"/>
          </w:tcPr>
          <w:p w14:paraId="33DCD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+0.268</w:t>
            </w:r>
          </w:p>
        </w:tc>
        <w:tc>
          <w:tcPr>
            <w:tcW w:w="2076" w:type="dxa"/>
          </w:tcPr>
          <w:p w14:paraId="6A178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等级越差越容易违约</w:t>
            </w:r>
          </w:p>
        </w:tc>
      </w:tr>
      <w:tr w14:paraId="0ABEE557">
        <w:trPr>
          <w:jc w:val="center"/>
        </w:trPr>
        <w:tc>
          <w:tcPr>
            <w:tcW w:w="2076" w:type="dxa"/>
          </w:tcPr>
          <w:p w14:paraId="1539C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2</w:t>
            </w:r>
          </w:p>
        </w:tc>
        <w:tc>
          <w:tcPr>
            <w:tcW w:w="2076" w:type="dxa"/>
          </w:tcPr>
          <w:p w14:paraId="7FDB7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grade_enc（等级）</w:t>
            </w:r>
          </w:p>
        </w:tc>
        <w:tc>
          <w:tcPr>
            <w:tcW w:w="2076" w:type="dxa"/>
          </w:tcPr>
          <w:p w14:paraId="76F13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+0.262</w:t>
            </w:r>
          </w:p>
        </w:tc>
        <w:tc>
          <w:tcPr>
            <w:tcW w:w="2076" w:type="dxa"/>
          </w:tcPr>
          <w:p w14:paraId="14ACB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同上，粗粒度版</w:t>
            </w:r>
          </w:p>
        </w:tc>
      </w:tr>
      <w:tr w14:paraId="6AF823F4">
        <w:trPr>
          <w:jc w:val="center"/>
        </w:trPr>
        <w:tc>
          <w:tcPr>
            <w:tcW w:w="2076" w:type="dxa"/>
          </w:tcPr>
          <w:p w14:paraId="38C49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3</w:t>
            </w:r>
          </w:p>
        </w:tc>
        <w:tc>
          <w:tcPr>
            <w:tcW w:w="2076" w:type="dxa"/>
          </w:tcPr>
          <w:p w14:paraId="69CF1A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interestRate（利率）</w:t>
            </w:r>
          </w:p>
        </w:tc>
        <w:tc>
          <w:tcPr>
            <w:tcW w:w="2076" w:type="dxa"/>
          </w:tcPr>
          <w:p w14:paraId="0B2264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+0.259</w:t>
            </w:r>
          </w:p>
        </w:tc>
        <w:tc>
          <w:tcPr>
            <w:tcW w:w="2076" w:type="dxa"/>
          </w:tcPr>
          <w:p w14:paraId="57719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利率高 = 定价环节已识别出高风险</w:t>
            </w:r>
          </w:p>
        </w:tc>
      </w:tr>
      <w:tr w14:paraId="28DA92F1">
        <w:trPr>
          <w:jc w:val="center"/>
        </w:trPr>
        <w:tc>
          <w:tcPr>
            <w:tcW w:w="2076" w:type="dxa"/>
          </w:tcPr>
          <w:p w14:paraId="230B1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4</w:t>
            </w:r>
          </w:p>
        </w:tc>
        <w:tc>
          <w:tcPr>
            <w:tcW w:w="2076" w:type="dxa"/>
          </w:tcPr>
          <w:p w14:paraId="6B234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term（期限）</w:t>
            </w:r>
          </w:p>
        </w:tc>
        <w:tc>
          <w:tcPr>
            <w:tcW w:w="2076" w:type="dxa"/>
          </w:tcPr>
          <w:p w14:paraId="64BE01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+0.175</w:t>
            </w:r>
          </w:p>
        </w:tc>
        <w:tc>
          <w:tcPr>
            <w:tcW w:w="2076" w:type="dxa"/>
          </w:tcPr>
          <w:p w14:paraId="1B429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60 个月长期贷款风险高于 36 个月</w:t>
            </w:r>
          </w:p>
        </w:tc>
      </w:tr>
      <w:tr w14:paraId="07F29D8F">
        <w:trPr>
          <w:jc w:val="center"/>
        </w:trPr>
        <w:tc>
          <w:tcPr>
            <w:tcW w:w="2076" w:type="dxa"/>
          </w:tcPr>
          <w:p w14:paraId="19EBF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5</w:t>
            </w:r>
          </w:p>
        </w:tc>
        <w:tc>
          <w:tcPr>
            <w:tcW w:w="2076" w:type="dxa"/>
          </w:tcPr>
          <w:p w14:paraId="49FA5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fico_avg（FICO 均值）</w:t>
            </w:r>
          </w:p>
        </w:tc>
        <w:tc>
          <w:tcPr>
            <w:tcW w:w="2076" w:type="dxa"/>
          </w:tcPr>
          <w:p w14:paraId="3B40A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−0.131</w:t>
            </w:r>
          </w:p>
        </w:tc>
        <w:tc>
          <w:tcPr>
            <w:tcW w:w="2076" w:type="dxa"/>
          </w:tcPr>
          <w:p w14:paraId="65064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信用分越高越不违约（前 10 里唯一的负相关）</w:t>
            </w:r>
          </w:p>
        </w:tc>
      </w:tr>
      <w:tr w14:paraId="1D4DEDE8">
        <w:trPr>
          <w:jc w:val="center"/>
        </w:trPr>
        <w:tc>
          <w:tcPr>
            <w:tcW w:w="2076" w:type="dxa"/>
          </w:tcPr>
          <w:p w14:paraId="755DB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6</w:t>
            </w:r>
          </w:p>
        </w:tc>
        <w:tc>
          <w:tcPr>
            <w:tcW w:w="2076" w:type="dxa"/>
          </w:tcPr>
          <w:p w14:paraId="38489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installment_income_ratio（月供收入比）</w:t>
            </w:r>
          </w:p>
        </w:tc>
        <w:tc>
          <w:tcPr>
            <w:tcW w:w="2076" w:type="dxa"/>
          </w:tcPr>
          <w:p w14:paraId="01D37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+0.122</w:t>
            </w:r>
          </w:p>
        </w:tc>
        <w:tc>
          <w:tcPr>
            <w:tcW w:w="2076" w:type="dxa"/>
          </w:tcPr>
          <w:p w14:paraId="71F4E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还款压力越大越容易违约</w:t>
            </w:r>
          </w:p>
        </w:tc>
      </w:tr>
      <w:tr w14:paraId="7D250B9A">
        <w:trPr>
          <w:jc w:val="center"/>
        </w:trPr>
        <w:tc>
          <w:tcPr>
            <w:tcW w:w="2076" w:type="dxa"/>
          </w:tcPr>
          <w:p w14:paraId="654A0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7</w:t>
            </w:r>
          </w:p>
        </w:tc>
        <w:tc>
          <w:tcPr>
            <w:tcW w:w="2076" w:type="dxa"/>
          </w:tcPr>
          <w:p w14:paraId="77EF4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dti（债务收入比）</w:t>
            </w:r>
          </w:p>
        </w:tc>
        <w:tc>
          <w:tcPr>
            <w:tcW w:w="2076" w:type="dxa"/>
          </w:tcPr>
          <w:p w14:paraId="26A58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+0.107</w:t>
            </w:r>
          </w:p>
        </w:tc>
        <w:tc>
          <w:tcPr>
            <w:tcW w:w="2076" w:type="dxa"/>
          </w:tcPr>
          <w:p w14:paraId="423C7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负债越重越容易违约</w:t>
            </w:r>
          </w:p>
        </w:tc>
      </w:tr>
      <w:tr w14:paraId="0BAD0777">
        <w:trPr>
          <w:jc w:val="center"/>
        </w:trPr>
        <w:tc>
          <w:tcPr>
            <w:tcW w:w="2076" w:type="dxa"/>
          </w:tcPr>
          <w:p w14:paraId="364B7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8</w:t>
            </w:r>
          </w:p>
        </w:tc>
        <w:tc>
          <w:tcPr>
            <w:tcW w:w="2076" w:type="dxa"/>
          </w:tcPr>
          <w:p w14:paraId="7A8E8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n14（匿名行为特征）</w:t>
            </w:r>
          </w:p>
        </w:tc>
        <w:tc>
          <w:tcPr>
            <w:tcW w:w="2076" w:type="dxa"/>
          </w:tcPr>
          <w:p w14:paraId="260B5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+0.085</w:t>
            </w:r>
          </w:p>
        </w:tc>
        <w:tc>
          <w:tcPr>
            <w:tcW w:w="2076" w:type="dxa"/>
          </w:tcPr>
          <w:p w14:paraId="591C1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匿名特征中信号最强的一个</w:t>
            </w:r>
          </w:p>
        </w:tc>
      </w:tr>
      <w:tr w14:paraId="3369B41A">
        <w:trPr>
          <w:jc w:val="center"/>
        </w:trPr>
        <w:tc>
          <w:tcPr>
            <w:tcW w:w="2076" w:type="dxa"/>
          </w:tcPr>
          <w:p w14:paraId="01B1D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9</w:t>
            </w:r>
          </w:p>
        </w:tc>
        <w:tc>
          <w:tcPr>
            <w:tcW w:w="2076" w:type="dxa"/>
          </w:tcPr>
          <w:p w14:paraId="61366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interest_loan_inter（利率×贷款额）</w:t>
            </w:r>
          </w:p>
        </w:tc>
        <w:tc>
          <w:tcPr>
            <w:tcW w:w="2076" w:type="dxa"/>
          </w:tcPr>
          <w:p w14:paraId="50DDE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+0.072</w:t>
            </w:r>
          </w:p>
        </w:tc>
        <w:tc>
          <w:tcPr>
            <w:tcW w:w="2076" w:type="dxa"/>
          </w:tcPr>
          <w:p w14:paraId="6CEEB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自建交互项，进入前 10</w:t>
            </w:r>
          </w:p>
        </w:tc>
      </w:tr>
      <w:tr w14:paraId="53B314A2">
        <w:trPr>
          <w:jc w:val="center"/>
        </w:trPr>
        <w:tc>
          <w:tcPr>
            <w:tcW w:w="2076" w:type="dxa"/>
          </w:tcPr>
          <w:p w14:paraId="4D5B6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10</w:t>
            </w:r>
          </w:p>
        </w:tc>
        <w:tc>
          <w:tcPr>
            <w:tcW w:w="2076" w:type="dxa"/>
          </w:tcPr>
          <w:p w14:paraId="35280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n2（匿名行为特征）</w:t>
            </w:r>
          </w:p>
        </w:tc>
        <w:tc>
          <w:tcPr>
            <w:tcW w:w="2076" w:type="dxa"/>
          </w:tcPr>
          <w:p w14:paraId="3CADD3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+0.070</w:t>
            </w:r>
          </w:p>
        </w:tc>
        <w:tc>
          <w:tcPr>
            <w:tcW w:w="2076" w:type="dxa"/>
          </w:tcPr>
          <w:p w14:paraId="39A71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—</w:t>
            </w:r>
          </w:p>
        </w:tc>
      </w:tr>
    </w:tbl>
    <w:p w14:paraId="37604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两个结论</w:t>
      </w:r>
      <w:r>
        <w:rPr>
          <w:rFonts w:ascii="verdana" w:hAnsi="verdana" w:eastAsia="宋体"/>
          <w:b w:val="0"/>
          <w:bCs/>
          <w:sz w:val="16"/>
        </w:rPr>
        <w:t>：① 相关性排名与第 6 节的随机森林重要性排名</w:t>
      </w:r>
      <w:r>
        <w:rPr>
          <w:rFonts w:ascii="verdana" w:hAnsi="verdana" w:eastAsia="宋体"/>
          <w:b w:val="0"/>
          <w:bCs/>
          <w:sz w:val="16"/>
        </w:rPr>
        <w:t>高度一致</w:t>
      </w:r>
      <w:r>
        <w:rPr>
          <w:rFonts w:ascii="verdana" w:hAnsi="verdana" w:eastAsia="宋体"/>
          <w:b w:val="0"/>
          <w:bCs/>
          <w:sz w:val="16"/>
        </w:rPr>
        <w:t>（前四名完全相同：子等级、利率、等级、期限）——两种完全不同的机制（线性相关 vs 树分裂的不纯度下降）指向同一批特征，这是"特征结论稳健、不是某个方法的偶然结果"的有力证据；② 单变量相关系数整体都不高（最高 0.27），说明</w:t>
      </w:r>
      <w:r>
        <w:rPr>
          <w:rFonts w:ascii="verdana" w:hAnsi="verdana" w:eastAsia="宋体"/>
          <w:b w:val="0"/>
          <w:bCs/>
          <w:sz w:val="16"/>
        </w:rPr>
        <w:t>违约不是任何单一变量决定的，而是多个弱信号叠加</w:t>
      </w:r>
      <w:r>
        <w:rPr>
          <w:rFonts w:ascii="verdana" w:hAnsi="verdana" w:eastAsia="宋体"/>
          <w:b w:val="0"/>
          <w:bCs/>
          <w:sz w:val="16"/>
        </w:rPr>
        <w:t>——这也提前解释了为什么三模型 AUC 只能到 0.72–0.73（信息上限由数据决定，不是模型不给力）。</w:t>
      </w:r>
    </w:p>
    <w:p w14:paraId="22809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7-2 特征之间的相关性（共线性结构）</w:t>
      </w:r>
      <w:r>
        <w:rPr>
          <w:rFonts w:ascii="verdana" w:hAnsi="verdana" w:eastAsia="宋体"/>
          <w:b w:val="0"/>
          <w:bCs/>
          <w:sz w:val="16"/>
        </w:rPr>
        <w:t xml:space="preserve">：38 个特征两两计算，相关系数绝对值 ≥ 0.6 的高相关对共 </w:t>
      </w:r>
      <w:r>
        <w:rPr>
          <w:rFonts w:ascii="verdana" w:hAnsi="verdana" w:eastAsia="宋体"/>
          <w:b w:val="0"/>
          <w:bCs/>
          <w:sz w:val="16"/>
        </w:rPr>
        <w:t>42 对</w:t>
      </w:r>
      <w:r>
        <w:rPr>
          <w:rFonts w:ascii="verdana" w:hAnsi="verdana" w:eastAsia="宋体"/>
          <w:b w:val="0"/>
          <w:bCs/>
          <w:sz w:val="16"/>
        </w:rPr>
        <w:t>，前 8 对：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drawing>
          <wp:inline xmlns:a="http://schemas.openxmlformats.org/drawingml/2006/main" xmlns:pic="http://schemas.openxmlformats.org/drawingml/2006/picture">
            <wp:extent cx="4855464" cy="4508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50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>图 2｜全部 38 个建模特征的相关系数矩阵（全量视图，38 个特征 + 违约标签共 39×39 格）：红 = 正相关，蓝 = 负相关，n = 798,498；本图用于看整体结构（哪些变量互相扎堆成块），格内数值需读具体数字请看图 3 的 Top 15 放大版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74EAE17">
        <w:trPr>
          <w:jc w:val="center"/>
        </w:trPr>
        <w:tc>
          <w:tcPr>
            <w:tcW w:w="2076" w:type="dxa"/>
          </w:tcPr>
          <w:p w14:paraId="407CD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 A</w:t>
            </w:r>
          </w:p>
        </w:tc>
        <w:tc>
          <w:tcPr>
            <w:tcW w:w="2076" w:type="dxa"/>
          </w:tcPr>
          <w:p w14:paraId="49795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 B</w:t>
            </w:r>
          </w:p>
        </w:tc>
        <w:tc>
          <w:tcPr>
            <w:tcW w:w="2076" w:type="dxa"/>
          </w:tcPr>
          <w:p w14:paraId="72BB2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相关系数</w:t>
            </w:r>
          </w:p>
        </w:tc>
        <w:tc>
          <w:tcPr>
            <w:tcW w:w="2076" w:type="dxa"/>
          </w:tcPr>
          <w:p w14:paraId="17753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怎么读</w:t>
            </w:r>
          </w:p>
        </w:tc>
      </w:tr>
      <w:tr w14:paraId="7B5E56BF">
        <w:trPr>
          <w:jc w:val="center"/>
        </w:trPr>
        <w:tc>
          <w:tcPr>
            <w:tcW w:w="2076" w:type="dxa"/>
          </w:tcPr>
          <w:p w14:paraId="41FED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n3</w:t>
            </w:r>
          </w:p>
        </w:tc>
        <w:tc>
          <w:tcPr>
            <w:tcW w:w="2076" w:type="dxa"/>
          </w:tcPr>
          <w:p w14:paraId="5BEC29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n2</w:t>
            </w:r>
          </w:p>
        </w:tc>
        <w:tc>
          <w:tcPr>
            <w:tcW w:w="2076" w:type="dxa"/>
          </w:tcPr>
          <w:p w14:paraId="08BF1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+1.000</w:t>
            </w:r>
          </w:p>
        </w:tc>
        <w:tc>
          <w:tcPr>
            <w:tcW w:w="2076" w:type="dxa"/>
          </w:tcPr>
          <w:p w14:paraId="1C7CC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两个匿名特征几乎完全重复</w:t>
            </w:r>
          </w:p>
        </w:tc>
      </w:tr>
      <w:tr w14:paraId="35754918">
        <w:trPr>
          <w:jc w:val="center"/>
        </w:trPr>
        <w:tc>
          <w:tcPr>
            <w:tcW w:w="2076" w:type="dxa"/>
          </w:tcPr>
          <w:p w14:paraId="07885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n10</w:t>
            </w:r>
          </w:p>
        </w:tc>
        <w:tc>
          <w:tcPr>
            <w:tcW w:w="2076" w:type="dxa"/>
          </w:tcPr>
          <w:p w14:paraId="7704C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openAcc</w:t>
            </w:r>
          </w:p>
        </w:tc>
        <w:tc>
          <w:tcPr>
            <w:tcW w:w="2076" w:type="dxa"/>
          </w:tcPr>
          <w:p w14:paraId="3E131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+0.984</w:t>
            </w:r>
          </w:p>
        </w:tc>
        <w:tc>
          <w:tcPr>
            <w:tcW w:w="2076" w:type="dxa"/>
          </w:tcPr>
          <w:p w14:paraId="39BC2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匿名特征与"未结信用额度数"高度重叠</w:t>
            </w:r>
          </w:p>
        </w:tc>
      </w:tr>
      <w:tr w14:paraId="2523707C">
        <w:trPr>
          <w:jc w:val="center"/>
        </w:trPr>
        <w:tc>
          <w:tcPr>
            <w:tcW w:w="2076" w:type="dxa"/>
          </w:tcPr>
          <w:p w14:paraId="61DE2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n3</w:t>
            </w:r>
          </w:p>
        </w:tc>
        <w:tc>
          <w:tcPr>
            <w:tcW w:w="2076" w:type="dxa"/>
          </w:tcPr>
          <w:p w14:paraId="18B542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n9</w:t>
            </w:r>
          </w:p>
        </w:tc>
        <w:tc>
          <w:tcPr>
            <w:tcW w:w="2076" w:type="dxa"/>
          </w:tcPr>
          <w:p w14:paraId="05D0E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+0.982</w:t>
            </w:r>
          </w:p>
        </w:tc>
        <w:tc>
          <w:tcPr>
            <w:tcW w:w="2076" w:type="dxa"/>
          </w:tcPr>
          <w:p w14:paraId="4A70A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匿名特征之间重复</w:t>
            </w:r>
          </w:p>
        </w:tc>
      </w:tr>
      <w:tr w14:paraId="63F5883C">
        <w:trPr>
          <w:jc w:val="center"/>
        </w:trPr>
        <w:tc>
          <w:tcPr>
            <w:tcW w:w="2076" w:type="dxa"/>
          </w:tcPr>
          <w:p w14:paraId="4031E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n2</w:t>
            </w:r>
          </w:p>
        </w:tc>
        <w:tc>
          <w:tcPr>
            <w:tcW w:w="2076" w:type="dxa"/>
          </w:tcPr>
          <w:p w14:paraId="7E42D4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n9</w:t>
            </w:r>
          </w:p>
        </w:tc>
        <w:tc>
          <w:tcPr>
            <w:tcW w:w="2076" w:type="dxa"/>
          </w:tcPr>
          <w:p w14:paraId="12739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+0.982</w:t>
            </w:r>
          </w:p>
        </w:tc>
        <w:tc>
          <w:tcPr>
            <w:tcW w:w="2076" w:type="dxa"/>
          </w:tcPr>
          <w:p w14:paraId="4366E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同上</w:t>
            </w:r>
          </w:p>
        </w:tc>
      </w:tr>
      <w:tr w14:paraId="59D9708F">
        <w:trPr>
          <w:jc w:val="center"/>
        </w:trPr>
        <w:tc>
          <w:tcPr>
            <w:tcW w:w="2076" w:type="dxa"/>
          </w:tcPr>
          <w:p w14:paraId="076D51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installment_log</w:t>
            </w:r>
          </w:p>
        </w:tc>
        <w:tc>
          <w:tcPr>
            <w:tcW w:w="2076" w:type="dxa"/>
          </w:tcPr>
          <w:p w14:paraId="08476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loanAmnt_log</w:t>
            </w:r>
          </w:p>
        </w:tc>
        <w:tc>
          <w:tcPr>
            <w:tcW w:w="2076" w:type="dxa"/>
          </w:tcPr>
          <w:p w14:paraId="20223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+0.977</w:t>
            </w:r>
          </w:p>
        </w:tc>
        <w:tc>
          <w:tcPr>
            <w:tcW w:w="2076" w:type="dxa"/>
          </w:tcPr>
          <w:p w14:paraId="2C884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月供由贷款金额决定，属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>预期相关</w:t>
            </w:r>
          </w:p>
        </w:tc>
      </w:tr>
      <w:tr w14:paraId="42C45F33">
        <w:trPr>
          <w:jc w:val="center"/>
        </w:trPr>
        <w:tc>
          <w:tcPr>
            <w:tcW w:w="2076" w:type="dxa"/>
          </w:tcPr>
          <w:p w14:paraId="433F8F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</w:t>
            </w:r>
          </w:p>
        </w:tc>
        <w:tc>
          <w:tcPr>
            <w:tcW w:w="2076" w:type="dxa"/>
          </w:tcPr>
          <w:p w14:paraId="1506D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</w:t>
            </w:r>
          </w:p>
        </w:tc>
        <w:tc>
          <w:tcPr>
            <w:tcW w:w="2076" w:type="dxa"/>
          </w:tcPr>
          <w:p w14:paraId="2F14C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+0.977</w:t>
            </w:r>
          </w:p>
        </w:tc>
        <w:tc>
          <w:tcPr>
            <w:tcW w:w="2076" w:type="dxa"/>
          </w:tcPr>
          <w:p w14:paraId="6E8F4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等级决定利率，属</w:t>
            </w:r>
            <w:r>
              <w:rPr>
                <w:rFonts w:ascii="verdana" w:hAnsi="verdana" w:eastAsia="宋体"/>
                <w:b w:val="0"/>
                <w:bCs/>
                <w:sz w:val="16"/>
              </w:rPr>
              <w:t>预期相关</w:t>
            </w:r>
          </w:p>
        </w:tc>
      </w:tr>
      <w:tr w14:paraId="05F46C87">
        <w:trPr>
          <w:jc w:val="center"/>
        </w:trPr>
        <w:tc>
          <w:tcPr>
            <w:tcW w:w="2076" w:type="dxa"/>
          </w:tcPr>
          <w:p w14:paraId="150D7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</w:t>
            </w:r>
          </w:p>
        </w:tc>
        <w:tc>
          <w:tcPr>
            <w:tcW w:w="2076" w:type="dxa"/>
          </w:tcPr>
          <w:p w14:paraId="19BB9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</w:t>
            </w:r>
          </w:p>
        </w:tc>
        <w:tc>
          <w:tcPr>
            <w:tcW w:w="2076" w:type="dxa"/>
          </w:tcPr>
          <w:p w14:paraId="3C0DE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+0.976</w:t>
            </w:r>
          </w:p>
        </w:tc>
        <w:tc>
          <w:tcPr>
            <w:tcW w:w="2076" w:type="dxa"/>
          </w:tcPr>
          <w:p w14:paraId="5F078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子等级是等级的细分，天然重叠</w:t>
            </w:r>
          </w:p>
        </w:tc>
      </w:tr>
      <w:tr w14:paraId="5505B638">
        <w:trPr>
          <w:jc w:val="center"/>
        </w:trPr>
        <w:tc>
          <w:tcPr>
            <w:tcW w:w="2076" w:type="dxa"/>
          </w:tcPr>
          <w:p w14:paraId="79706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</w:t>
            </w:r>
          </w:p>
        </w:tc>
        <w:tc>
          <w:tcPr>
            <w:tcW w:w="2076" w:type="dxa"/>
          </w:tcPr>
          <w:p w14:paraId="01233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</w:t>
            </w:r>
          </w:p>
        </w:tc>
        <w:tc>
          <w:tcPr>
            <w:tcW w:w="2076" w:type="dxa"/>
          </w:tcPr>
          <w:p w14:paraId="16294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+0.953</w:t>
            </w:r>
          </w:p>
        </w:tc>
        <w:tc>
          <w:tcPr>
            <w:tcW w:w="2076" w:type="dxa"/>
          </w:tcPr>
          <w:p w14:paraId="07CF2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同上</w:t>
            </w:r>
          </w:p>
        </w:tc>
      </w:tr>
    </w:tbl>
    <w:p w14:paraId="54206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4290695"/>
            <wp:effectExtent l="0" t="0" r="215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42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color w:val="808080"/>
          <w:sz w:val="16"/>
        </w:rPr>
        <w:t>图 3｜与违约相关性最高的 Top 15 特征之间的相关系数矩阵（红 = 正相关，蓝 = 负相关，格内数字为 Pearson r，n = 798,498）；</w:t>
      </w:r>
      <w:r>
        <w:rPr>
          <w:rFonts w:ascii="verdana" w:hAnsi="verdana" w:eastAsia="宋体"/>
          <w:b w:val="0"/>
          <w:bCs/>
          <w:color w:val="808080"/>
          <w:sz w:val="16"/>
        </w:rPr>
        <w:t>Top 15 只是为看清格内数字而选的展示窗口，模型仍使用全部 38 个特征</w:t>
      </w:r>
      <w:r>
        <w:rPr>
          <w:rFonts w:ascii="verdana" w:hAnsi="verdana" w:eastAsia="宋体"/>
          <w:b w:val="0"/>
          <w:bCs/>
          <w:color w:val="808080"/>
          <w:sz w:val="16"/>
        </w:rPr>
        <w:t>；图中右上角 subGrade/grade/interestRate 三者自成一个 0.95+ 的"高风险定价块"；不筛选的完整矩阵即图 2（</w:t>
      </w:r>
      <w:r>
        <w:rPr>
          <w:rFonts w:ascii="verdana" w:hAnsi="verdana" w:eastAsia="宋体"/>
          <w:b w:val="0"/>
          <w:bCs/>
          <w:color w:val="808080"/>
          <w:sz w:val="16"/>
        </w:rPr>
        <w:t>outputs/W2/correlation_heatmap.png</w:t>
      </w:r>
      <w:r>
        <w:rPr>
          <w:rFonts w:ascii="verdana" w:hAnsi="verdana" w:eastAsia="宋体"/>
          <w:b w:val="0"/>
          <w:bCs/>
          <w:color w:val="808080"/>
          <w:sz w:val="16"/>
        </w:rPr>
        <w:t>）</w:t>
      </w:r>
    </w:p>
    <w:p w14:paraId="1DD68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7-3 高相关对模型意味着什么</w:t>
      </w:r>
      <w:r>
        <w:rPr>
          <w:rFonts w:ascii="verdana" w:hAnsi="verdana" w:eastAsia="宋体"/>
          <w:b w:val="0"/>
          <w:bCs/>
          <w:sz w:val="16"/>
        </w:rPr>
        <w:t>：</w:t>
      </w:r>
    </w:p>
    <w:p w14:paraId="430DE1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对线性模型（逻辑回归）</w:t>
      </w:r>
      <w:r>
        <w:rPr>
          <w:rFonts w:ascii="verdana" w:hAnsi="verdana" w:eastAsia="宋体"/>
          <w:b w:val="0"/>
          <w:bCs/>
          <w:sz w:val="16"/>
        </w:rPr>
        <w:t>：共线特征会让系数估计不稳定</w:t>
      </w:r>
      <w:bookmarkStart w:id="0" w:name="_GoBack"/>
      <w:bookmarkEnd w:id="0"/>
      <w:r>
        <w:rPr>
          <w:rFonts w:ascii="verdana" w:hAnsi="verdana" w:eastAsia="宋体"/>
          <w:b w:val="0"/>
          <w:bCs/>
          <w:sz w:val="16"/>
        </w:rPr>
        <w:t>，单个系数的符号甚至可能反直觉。所以本报告解读逻辑回归时</w:t>
      </w:r>
      <w:r>
        <w:rPr>
          <w:rFonts w:ascii="verdana" w:hAnsi="verdana" w:eastAsia="宋体"/>
          <w:b w:val="0"/>
          <w:bCs/>
          <w:sz w:val="16"/>
        </w:rPr>
        <w:t>只看整体预测与排序能力（AUC），不逐条解读系数</w:t>
      </w:r>
      <w:r>
        <w:rPr>
          <w:rFonts w:ascii="verdana" w:hAnsi="verdana" w:eastAsia="宋体"/>
          <w:b w:val="0"/>
          <w:bCs/>
          <w:sz w:val="16"/>
        </w:rPr>
        <w:t>。</w:t>
      </w:r>
    </w:p>
    <w:p w14:paraId="29212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对树模型（随机森林/XGBoost）</w:t>
      </w:r>
      <w:r>
        <w:rPr>
          <w:rFonts w:ascii="verdana" w:hAnsi="verdana" w:eastAsia="宋体"/>
          <w:b w:val="0"/>
          <w:bCs/>
          <w:sz w:val="16"/>
        </w:rPr>
        <w:t>：分裂只看"哪个特征能带来最大的不纯度下降"，共线特征之间会互相</w:t>
      </w:r>
      <w:r>
        <w:rPr>
          <w:rFonts w:ascii="verdana" w:hAnsi="verdana" w:eastAsia="宋体"/>
          <w:b w:val="0"/>
          <w:bCs/>
          <w:sz w:val="16"/>
        </w:rPr>
        <w:t>分摊</w:t>
      </w:r>
      <w:r>
        <w:rPr>
          <w:rFonts w:ascii="verdana" w:hAnsi="verdana" w:eastAsia="宋体"/>
          <w:b w:val="0"/>
          <w:bCs/>
          <w:sz w:val="16"/>
        </w:rPr>
        <w:t>重要性（subGrade 与 interestRate 各拿一部分），但</w:t>
      </w:r>
      <w:r>
        <w:rPr>
          <w:rFonts w:ascii="verdana" w:hAnsi="verdana" w:eastAsia="宋体"/>
          <w:b w:val="0"/>
          <w:bCs/>
          <w:sz w:val="16"/>
        </w:rPr>
        <w:t>预测能力不受影响</w:t>
      </w:r>
      <w:r>
        <w:rPr>
          <w:rFonts w:ascii="verdana" w:hAnsi="verdana" w:eastAsia="宋体"/>
          <w:b w:val="0"/>
          <w:bCs/>
          <w:sz w:val="16"/>
        </w:rPr>
        <w:t>——这也是本项目主力用 XGBoost 的原因之一。</w:t>
      </w:r>
    </w:p>
    <w:p w14:paraId="2C49EC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对特征选择</w:t>
      </w:r>
      <w:r>
        <w:rPr>
          <w:rFonts w:ascii="verdana" w:hAnsi="verdana" w:eastAsia="宋体"/>
          <w:b w:val="0"/>
          <w:bCs/>
          <w:sz w:val="16"/>
        </w:rPr>
        <w:t>：既然 subGrade、grade、interestRate 三者信息高度重叠，就没必要再人为造同类特征；真正有价值的是</w:t>
      </w:r>
      <w:r>
        <w:rPr>
          <w:rFonts w:ascii="verdana" w:hAnsi="verdana" w:eastAsia="宋体"/>
          <w:b w:val="0"/>
          <w:bCs/>
          <w:sz w:val="16"/>
        </w:rPr>
        <w:t>互补</w:t>
      </w:r>
      <w:r>
        <w:rPr>
          <w:rFonts w:ascii="verdana" w:hAnsi="verdana" w:eastAsia="宋体"/>
          <w:b w:val="0"/>
          <w:bCs/>
          <w:sz w:val="16"/>
        </w:rPr>
        <w:t>特征——fico_avg 提供唯一的负向信号，installment_income_ratio 与 dti 提供"还款能力"这个新维度。</w:t>
      </w:r>
    </w:p>
    <w:p w14:paraId="69170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 xml:space="preserve">•  </w:t>
      </w:r>
      <w:r>
        <w:rPr>
          <w:rFonts w:ascii="verdana" w:hAnsi="verdana" w:eastAsia="宋体"/>
          <w:b w:val="0"/>
          <w:bCs/>
          <w:sz w:val="16"/>
        </w:rPr>
        <w:t>对业务解读</w:t>
      </w:r>
      <w:r>
        <w:rPr>
          <w:rFonts w:ascii="verdana" w:hAnsi="verdana" w:eastAsia="宋体"/>
          <w:b w:val="0"/>
          <w:bCs/>
          <w:sz w:val="16"/>
        </w:rPr>
        <w:t>：向业务方讲"模型最看重什么"时，应说"</w:t>
      </w:r>
      <w:r>
        <w:rPr>
          <w:rFonts w:ascii="verdana" w:hAnsi="verdana" w:eastAsia="宋体"/>
          <w:b w:val="0"/>
          <w:bCs/>
          <w:sz w:val="16"/>
        </w:rPr>
        <w:t>贷款定价与信用等级这一组信息</w:t>
      </w:r>
      <w:r>
        <w:rPr>
          <w:rFonts w:ascii="verdana" w:hAnsi="verdana" w:eastAsia="宋体"/>
          <w:b w:val="0"/>
          <w:bCs/>
          <w:sz w:val="16"/>
        </w:rPr>
        <w:t>"（等级、利率、期限属同一逻辑），而不是把三者当成三个独立发现来汇报。</w:t>
      </w:r>
    </w:p>
    <w:p w14:paraId="076E5A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8. 防数据泄漏总结（重点）</w:t>
      </w:r>
    </w:p>
    <w:p w14:paraId="6BAC34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三处"只从训练集学、再应用到测试集"：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1475ADF9">
        <w:trPr>
          <w:jc w:val="center"/>
        </w:trPr>
        <w:tc>
          <w:tcPr>
            <w:tcW w:w="2768" w:type="dxa"/>
          </w:tcPr>
          <w:p w14:paraId="6A0AE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位置</w:t>
            </w:r>
          </w:p>
        </w:tc>
        <w:tc>
          <w:tcPr>
            <w:tcW w:w="2768" w:type="dxa"/>
          </w:tcPr>
          <w:p w14:paraId="16D97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学到的规则</w:t>
            </w:r>
          </w:p>
        </w:tc>
        <w:tc>
          <w:tcPr>
            <w:tcW w:w="2768" w:type="dxa"/>
          </w:tcPr>
          <w:p w14:paraId="49B66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若泄漏会怎样</w:t>
            </w:r>
          </w:p>
        </w:tc>
      </w:tr>
      <w:tr w14:paraId="09B719DE">
        <w:trPr>
          <w:jc w:val="center"/>
        </w:trPr>
        <w:tc>
          <w:tcPr>
            <w:tcW w:w="2768" w:type="dxa"/>
          </w:tcPr>
          <w:p w14:paraId="2BA1A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regionCode 目标编码</w:t>
            </w:r>
          </w:p>
        </w:tc>
        <w:tc>
          <w:tcPr>
            <w:tcW w:w="2768" w:type="dxa"/>
          </w:tcPr>
          <w:p w14:paraId="0AD06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各地区违约率</w:t>
            </w:r>
          </w:p>
        </w:tc>
        <w:tc>
          <w:tcPr>
            <w:tcW w:w="2768" w:type="dxa"/>
          </w:tcPr>
          <w:p w14:paraId="21DEC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测试集标签信息混入特征，评估虚高</w:t>
            </w:r>
          </w:p>
        </w:tc>
      </w:tr>
      <w:tr w14:paraId="1C4BA595">
        <w:trPr>
          <w:jc w:val="center"/>
        </w:trPr>
        <w:tc>
          <w:tcPr>
            <w:tcW w:w="2768" w:type="dxa"/>
          </w:tcPr>
          <w:p w14:paraId="53DA2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StandardScaler</w:t>
            </w:r>
          </w:p>
        </w:tc>
        <w:tc>
          <w:tcPr>
            <w:tcW w:w="2768" w:type="dxa"/>
          </w:tcPr>
          <w:p w14:paraId="6916E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均值、标准差</w:t>
            </w:r>
          </w:p>
        </w:tc>
        <w:tc>
          <w:tcPr>
            <w:tcW w:w="2768" w:type="dxa"/>
          </w:tcPr>
          <w:p w14:paraId="3D94F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同上</w:t>
            </w:r>
          </w:p>
        </w:tc>
      </w:tr>
      <w:tr w14:paraId="7666BF39">
        <w:trPr>
          <w:jc w:val="center"/>
        </w:trPr>
        <w:tc>
          <w:tcPr>
            <w:tcW w:w="2768" w:type="dxa"/>
          </w:tcPr>
          <w:p w14:paraId="2B2AAA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credit_history_years 中位数填充</w:t>
            </w:r>
          </w:p>
        </w:tc>
        <w:tc>
          <w:tcPr>
            <w:tcW w:w="2768" w:type="dxa"/>
          </w:tcPr>
          <w:p w14:paraId="43923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中位数</w:t>
            </w:r>
          </w:p>
        </w:tc>
        <w:tc>
          <w:tcPr>
            <w:tcW w:w="2768" w:type="dxa"/>
          </w:tcPr>
          <w:p w14:paraId="2B8659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240" w:lineRule="auto"/>
              <w:textAlignment w:val="auto"/>
              <w:rPr>
                <w:rFonts w:ascii="verdana" w:hAnsi="verdana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同上</w:t>
            </w:r>
          </w:p>
        </w:tc>
      </w:tr>
    </w:tbl>
    <w:p w14:paraId="62753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判断标准</w:t>
      </w:r>
      <w:r>
        <w:rPr>
          <w:rFonts w:ascii="verdana" w:hAnsi="verdana" w:eastAsia="宋体"/>
          <w:b w:val="0"/>
          <w:bCs/>
          <w:sz w:val="16"/>
        </w:rPr>
        <w:t>：任何在建模中"看到过标签"的统计量，都只能来自训练集。这保证测试集（以及未来的新客户数据）对模型而言是真正"没见过"的。</w:t>
      </w:r>
    </w:p>
    <w:p w14:paraId="490C7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9. 下一步</w:t>
      </w:r>
    </w:p>
    <w:p w14:paraId="0A917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verdana" w:hAnsi="verdana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特征工程产物（</w:t>
      </w:r>
      <w:r>
        <w:rPr>
          <w:rFonts w:ascii="verdana" w:hAnsi="verdana" w:eastAsia="宋体"/>
          <w:b w:val="0"/>
          <w:bCs/>
          <w:sz w:val="16"/>
        </w:rPr>
        <w:t>train_final.csv</w:t>
      </w:r>
      <w:r>
        <w:rPr>
          <w:rFonts w:ascii="verdana" w:hAnsi="verdana" w:eastAsia="宋体"/>
          <w:b w:val="0"/>
          <w:bCs/>
          <w:sz w:val="16"/>
        </w:rPr>
        <w:t>）将作为 W2 后半段</w:t>
      </w:r>
      <w:r>
        <w:rPr>
          <w:rFonts w:ascii="verdana" w:hAnsi="verdana" w:eastAsia="宋体"/>
          <w:b w:val="0"/>
          <w:bCs/>
          <w:sz w:val="16"/>
        </w:rPr>
        <w:t>模型构建与评估</w:t>
      </w:r>
      <w:r>
        <w:rPr>
          <w:rFonts w:ascii="verdana" w:hAnsi="verdana" w:eastAsia="宋体"/>
          <w:b w:val="0"/>
          <w:bCs/>
          <w:sz w:val="16"/>
        </w:rPr>
        <w:t>的输入（任务 4.1–4.4，70/20/10 划分、三模型对比）。</w:t>
      </w:r>
    </w:p>
    <w:sectPr>
      <w:pgSz w:w="11905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nad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na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n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E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qzuser</cp:lastModifiedBy>
  <dcterms:modified xsi:type="dcterms:W3CDTF">2026-09-14T17:27:59Z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1BA0A745322EFB391FBEA76AD35DD14D_42</vt:lpwstr>
  </property>
</Properties>
</file>