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F01E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W3 周报（2026/9/14 – 9/20）</w:t>
      </w:r>
    </w:p>
    <w:p w14:paraId="3463EAF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本周核心结论：完成了模型优化全流程（超参数调优、K 折交叉验证、投票/堆叠集成、SHAP 解释）。调参和集成让验证集 AUC 从基线的 0.7276 提升到最高的 0.7298，提升有限但方向明确；更重要的是把这组数据的判别力天花板摸清了——七个模型的 AUC 全部落在 0.72–0.73，说明结果稳健、不依赖某个模型。本周还补做了两个实验：三种调参方法的等预算对照（证明随机搜索没有漏掉更优解）和模型差距的显著性检验（差距真实存在，但小到不值得为集成模型多付约 40 倍算力，最终模型因此选 LGB）。SHAP 显示模型首先看贷款条件（子等级、期限、等级、FICO），与 W1 的 EDA、W2 的特征重要性三处互相印证。10% 测试集继续保持未使用，留到 W4 做最终确认。</w:t>
      </w:r>
    </w:p>
    <w:p w14:paraId="10B7AE1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本周分析思路：先明确“优化到底优化的是什么”（为什么在基线基础上还能再</w:t>
      </w:r>
      <w:r>
        <w:rPr>
          <w:rFonts w:hint="eastAsia" w:ascii="verdana" w:hAnsi="verdana"/>
          <w:b w:val="0"/>
          <w:bCs/>
          <w:sz w:val="16"/>
          <w:lang w:val="en-US" w:eastAsia="zh-CN"/>
        </w:rPr>
        <w:t>改进</w:t>
      </w:r>
      <w:r>
        <w:rPr>
          <w:rFonts w:ascii="verdana" w:hAnsi="verdana" w:eastAsia="宋体"/>
          <w:b w:val="0"/>
          <w:bCs/>
          <w:sz w:val="16"/>
        </w:rPr>
        <w:t>）→ 调参（随机搜索 + 5 折交叉验证，给 XGB/LGB 各试 8 组）→ 集成（投票法、堆叠法，另加 LightGBM 同族对照）→ 在验证集统一复测、对比 7 个模型 → 两个补充实验把结论夯实（三种调参方法等预算对照、模型差距的显著性检验）→ 用 SHAP 打开模型看它依据什么判断 → 落到业务解释与下一步。</w:t>
      </w:r>
    </w:p>
    <w:p w14:paraId="7259337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为什么这一步叫“优化”，不是“重做”</w:t>
      </w:r>
    </w:p>
    <w:p w14:paraId="63FD890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W2 交付的是“能打的基线模型”，但它用的都是默认参数。W3 要做的是：先把参数调到合适档位（调参），再看能不能把几个模型的意见合起来更稳（集成），最后解释模型为什么这么判断（SHAP）。</w:t>
      </w:r>
    </w:p>
    <w:p w14:paraId="3CAAC97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开始之前先立规矩：数据划分与 W2 完全一致（训练 558,948 / 验证 159,700 / 测试 79,850，7:2:1，同一随机种子），这样才能保证“优化前后”的对比是公平的。K 折交叉验证只在训练集内部做，验证集只用于最终复测，测试集继续封存。</w:t>
      </w:r>
    </w:p>
    <w:p w14:paraId="7169D92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F3DC8B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超参数调优：三种方法先做对照，再定方案</w:t>
      </w:r>
    </w:p>
    <w:p w14:paraId="719E3CF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超参数就是模型训练前要人为设定的旋钮（比如树的数量、每棵树多深、学习步长）。调参就是在这些旋钮上试不同组合，看哪组验证成绩最好。三种主流方法分别是：</w:t>
      </w:r>
    </w:p>
    <w:p w14:paraId="7E9E5DC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网格搜索：所有组合一个不漏。本项目正式空间是 3^6 = 729 组 × 5 折 = 3,600 多次训练，80 万行数据下时间不现实；</w:t>
      </w:r>
      <w:bookmarkStart w:id="0" w:name="_GoBack"/>
      <w:bookmarkEnd w:id="0"/>
    </w:p>
    <w:p w14:paraId="5975BD9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贝叶斯优化（TPE）：根据前几次的成绩，优先试“更可能出好成绩”的区域，理论上更省次数；</w:t>
      </w:r>
    </w:p>
    <w:p w14:paraId="674718D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随机搜索：从参数空间随机抽固定组数（每模型 8 组），实现最简单、和模型库配合最顺。</w:t>
      </w:r>
    </w:p>
    <w:p w14:paraId="55E6060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先说说直觉：贝叶斯边试边学，理论上最省次数；网格一个不漏但最贵；随机搜索最简单，但可能靠运气漏掉好区域。为了弄清“换一种方法会不会更好”，我们做了一组等预算对照实验（20 万行子样本、3 折，控制时间成本）：实验一把 24 个组合的小空间交给三种方法各跑 24 次，最优分别是 0.7210 / 0.7209 / 0.7210——上限完全一样；实验二在 6 个旋钮的大空间（网格要枚举 15,625 组、约 26 小时，算力上不可行）里比随机与贝叶斯各 30 次，最优同为 0.7219。差别只在试错效率：贝叶斯的平均成绩更高（0.7192 vs 0.7165；0.7201 vs 0.7186），说明它更少走弯路。结论：三种方法都到得了同一水平，随机搜索实现和复现成本最低，因此正式调参用它；贝叶斯对照写进报告，用来回答“有没有漏掉更优的参数区域”。</w:t>
      </w:r>
    </w:p>
    <w:p w14:paraId="08F6F53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数据上做了什么：给 XGBoost 和 LightGBM 各抽 8 组参数，每组用 5 折交叉验证算出平均 AUC 作为成绩。最终 XGB 最优 0.7247、LGB 最优 0.7249，两个冠军几乎打平，且最优点都落在“树多一些（200）、深度适中（8）、小步学习（0.05）、随机抽样（0.7–0.8）”的同一片区域——说明这个方向是稳定有效的，不是运气。</w:t>
      </w:r>
    </w:p>
    <w:p w14:paraId="283F23D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一个值得注意的数字：16 组里最差的一组 AUC 是 0.7167，与最优只差 0.008。所以调参能拿到的提升本来就不大——这不是失败，而是说明基线参数已经接近这组数据的能力上限。</w:t>
      </w:r>
    </w:p>
    <w:p w14:paraId="0517ADD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1481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14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C9B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1｜三种调参方法的等预算对照。左：实验一（24 组合小空间）收敛曲线；中：实验二（6 旋钮大空间）收敛曲线；右：各方法的平均试错质量（同一预算下所有试验的平均 AUC，越高越少走弯路）。</w:t>
      </w:r>
    </w:p>
    <w:p w14:paraId="7CFDE8C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2092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09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292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2｜随机搜索 16 组参数的 5 折平均 AUC（蓝=XGBoost，绿=LightGBM，红框=各模型最优）。柱子上的误差棒是 5 折标准差，全部 ≤0.0007——5 次“考试”难度稳定，评分可靠。</w:t>
      </w:r>
    </w:p>
    <w:p w14:paraId="365D589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24D1F9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K 折交叉验证：评分怎么做到可信</w:t>
      </w:r>
    </w:p>
    <w:p w14:paraId="3952AA3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把训练集切成 5 等份，轮流拿 1 份当“模拟考试”、其余 4 份训练，考 5 次取平均分。好处有两点：一是不浪费数据（每份都既当过考生也当过考官）；二是成绩更稳，不会因为“这一次切分运气好”而误判一组参数的好坏。</w:t>
      </w:r>
    </w:p>
    <w:p w14:paraId="2D5F842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本次还做了分层（Stratified）：每一折的违约比例都保持与总体一致（约 20%），保证 5 次考试难度相当。从结果看，16 组参数的 5 折标准差全部不超过 0.0007，说明交叉验证给出的分数非常稳定，调参结论因此可信。</w:t>
      </w:r>
    </w:p>
    <w:p w14:paraId="1EF6A5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79B9D7A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模型集成：把几个模型的意见合起来</w:t>
      </w:r>
    </w:p>
    <w:p w14:paraId="1F55ADF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单模型各有偏好，把多个模型的意思合起来通常更稳。本次做了两种：</w:t>
      </w:r>
    </w:p>
    <w:p w14:paraId="460BA10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投票法（soft voting）：四个模型（LR、RF、XGB优化、LGB优化）各输出一个违约概率，取平均。类比：四位分析师各给一个判断，最终取平均意见。</w:t>
      </w:r>
    </w:p>
    <w:p w14:paraId="2BC5D5B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堆叠法（stacking）：先把四个模型的预测概率当成“新特征”，再训练一个逻辑回归综合判断。类比：教练不看原始数据，只看四个队员的结论再做裁决；内部用 5 折交叉验证，防止教练背队员的答案。</w:t>
      </w:r>
    </w:p>
    <w:p w14:paraId="2D9D0FF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另外补充 LightGBM 与 XGBoost 对照：两者同属梯度提升树、训练更快，可以互相验证“是不是某个具体实现的偶然表现”。</w:t>
      </w:r>
    </w:p>
    <w:p w14:paraId="70AF609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745C5F7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优化后复测：七个模型同台对比</w:t>
      </w:r>
    </w:p>
    <w:p w14:paraId="398B82D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所有模型在验证集（159,700 人，训练时没见过）上统一复测，阈值 0.5：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81"/>
        <w:gridCol w:w="1281"/>
        <w:gridCol w:w="1281"/>
        <w:gridCol w:w="1281"/>
        <w:gridCol w:w="1281"/>
      </w:tblGrid>
      <w:tr w14:paraId="74B5B063">
        <w:trPr>
          <w:jc w:val="center"/>
        </w:trPr>
        <w:tc>
          <w:tcPr>
            <w:tcW w:w="1900" w:type="dxa"/>
          </w:tcPr>
          <w:p w14:paraId="292F0E7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模型</w:t>
            </w:r>
          </w:p>
        </w:tc>
        <w:tc>
          <w:tcPr>
            <w:tcW w:w="1281" w:type="dxa"/>
          </w:tcPr>
          <w:p w14:paraId="532A7CD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准确率</w:t>
            </w:r>
          </w:p>
        </w:tc>
        <w:tc>
          <w:tcPr>
            <w:tcW w:w="1281" w:type="dxa"/>
          </w:tcPr>
          <w:p w14:paraId="3F743EF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精确率</w:t>
            </w:r>
          </w:p>
        </w:tc>
        <w:tc>
          <w:tcPr>
            <w:tcW w:w="1281" w:type="dxa"/>
          </w:tcPr>
          <w:p w14:paraId="5DD2716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召回率</w:t>
            </w:r>
          </w:p>
        </w:tc>
        <w:tc>
          <w:tcPr>
            <w:tcW w:w="1281" w:type="dxa"/>
          </w:tcPr>
          <w:p w14:paraId="1DFFF1B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F1</w:t>
            </w:r>
          </w:p>
        </w:tc>
        <w:tc>
          <w:tcPr>
            <w:tcW w:w="1281" w:type="dxa"/>
          </w:tcPr>
          <w:p w14:paraId="2B1F8C5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AUC</w:t>
            </w:r>
          </w:p>
        </w:tc>
      </w:tr>
      <w:tr w14:paraId="0CF0FA35">
        <w:trPr>
          <w:jc w:val="center"/>
        </w:trPr>
        <w:tc>
          <w:tcPr>
            <w:tcW w:w="1900" w:type="dxa"/>
          </w:tcPr>
          <w:p w14:paraId="0207B3D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LR（基线）</w:t>
            </w:r>
          </w:p>
        </w:tc>
        <w:tc>
          <w:tcPr>
            <w:tcW w:w="1281" w:type="dxa"/>
          </w:tcPr>
          <w:p w14:paraId="112F95E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0.6582</w:t>
            </w:r>
          </w:p>
        </w:tc>
        <w:tc>
          <w:tcPr>
            <w:tcW w:w="1281" w:type="dxa"/>
          </w:tcPr>
          <w:p w14:paraId="698E37A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0.3241</w:t>
            </w:r>
          </w:p>
        </w:tc>
        <w:tc>
          <w:tcPr>
            <w:tcW w:w="1281" w:type="dxa"/>
          </w:tcPr>
          <w:p w14:paraId="6571032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0.6572</w:t>
            </w:r>
          </w:p>
        </w:tc>
        <w:tc>
          <w:tcPr>
            <w:tcW w:w="1281" w:type="dxa"/>
          </w:tcPr>
          <w:p w14:paraId="33029BC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0.4341</w:t>
            </w:r>
          </w:p>
        </w:tc>
        <w:tc>
          <w:tcPr>
            <w:tcW w:w="1281" w:type="dxa"/>
          </w:tcPr>
          <w:p w14:paraId="5E7DD94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0.7189</w:t>
            </w:r>
          </w:p>
        </w:tc>
      </w:tr>
      <w:tr w14:paraId="7CD11CE4">
        <w:trPr>
          <w:jc w:val="center"/>
        </w:trPr>
        <w:tc>
          <w:tcPr>
            <w:tcW w:w="1900" w:type="dxa"/>
          </w:tcPr>
          <w:p w14:paraId="09CB531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RF（基线）</w:t>
            </w:r>
          </w:p>
        </w:tc>
        <w:tc>
          <w:tcPr>
            <w:tcW w:w="1281" w:type="dxa"/>
          </w:tcPr>
          <w:p w14:paraId="43A8BDD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0.6507</w:t>
            </w:r>
          </w:p>
        </w:tc>
        <w:tc>
          <w:tcPr>
            <w:tcW w:w="1281" w:type="dxa"/>
          </w:tcPr>
          <w:p w14:paraId="5E1440B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0.3208</w:t>
            </w:r>
          </w:p>
        </w:tc>
        <w:tc>
          <w:tcPr>
            <w:tcW w:w="1281" w:type="dxa"/>
          </w:tcPr>
          <w:p w14:paraId="0B4E08D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0.6723</w:t>
            </w:r>
          </w:p>
        </w:tc>
        <w:tc>
          <w:tcPr>
            <w:tcW w:w="1281" w:type="dxa"/>
          </w:tcPr>
          <w:p w14:paraId="13D179F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0.4343</w:t>
            </w:r>
          </w:p>
        </w:tc>
        <w:tc>
          <w:tcPr>
            <w:tcW w:w="1281" w:type="dxa"/>
          </w:tcPr>
          <w:p w14:paraId="5043C76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0.7198</w:t>
            </w:r>
          </w:p>
        </w:tc>
      </w:tr>
      <w:tr w14:paraId="1DA6749B">
        <w:trPr>
          <w:jc w:val="center"/>
        </w:trPr>
        <w:tc>
          <w:tcPr>
            <w:tcW w:w="1900" w:type="dxa"/>
          </w:tcPr>
          <w:p w14:paraId="6429B66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</w:t>
            </w:r>
          </w:p>
        </w:tc>
        <w:tc>
          <w:tcPr>
            <w:tcW w:w="1281" w:type="dxa"/>
          </w:tcPr>
          <w:p w14:paraId="7AA8C51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0.6559</w:t>
            </w:r>
          </w:p>
        </w:tc>
        <w:tc>
          <w:tcPr>
            <w:tcW w:w="1281" w:type="dxa"/>
          </w:tcPr>
          <w:p w14:paraId="6FB077B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0.3259</w:t>
            </w:r>
          </w:p>
        </w:tc>
        <w:tc>
          <w:tcPr>
            <w:tcW w:w="1281" w:type="dxa"/>
          </w:tcPr>
          <w:p w14:paraId="44503F1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0.6785</w:t>
            </w:r>
          </w:p>
        </w:tc>
        <w:tc>
          <w:tcPr>
            <w:tcW w:w="1281" w:type="dxa"/>
          </w:tcPr>
          <w:p w14:paraId="49C114D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0.4403</w:t>
            </w:r>
          </w:p>
        </w:tc>
        <w:tc>
          <w:tcPr>
            <w:tcW w:w="1281" w:type="dxa"/>
          </w:tcPr>
          <w:p w14:paraId="58D51EC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0.7276</w:t>
            </w:r>
          </w:p>
        </w:tc>
      </w:tr>
      <w:tr w14:paraId="2F39142C">
        <w:trPr>
          <w:jc w:val="center"/>
        </w:trPr>
        <w:tc>
          <w:tcPr>
            <w:tcW w:w="1900" w:type="dxa"/>
          </w:tcPr>
          <w:p w14:paraId="5A469DF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</w:t>
            </w:r>
          </w:p>
        </w:tc>
        <w:tc>
          <w:tcPr>
            <w:tcW w:w="1281" w:type="dxa"/>
          </w:tcPr>
          <w:p w14:paraId="5AECB9D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0.6636</w:t>
            </w:r>
          </w:p>
        </w:tc>
        <w:tc>
          <w:tcPr>
            <w:tcW w:w="1281" w:type="dxa"/>
          </w:tcPr>
          <w:p w14:paraId="52E889A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0.3301</w:t>
            </w:r>
          </w:p>
        </w:tc>
        <w:tc>
          <w:tcPr>
            <w:tcW w:w="1281" w:type="dxa"/>
          </w:tcPr>
          <w:p w14:paraId="6864E34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0.6672</w:t>
            </w:r>
          </w:p>
        </w:tc>
        <w:tc>
          <w:tcPr>
            <w:tcW w:w="1281" w:type="dxa"/>
          </w:tcPr>
          <w:p w14:paraId="2BD6D20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0.4417</w:t>
            </w:r>
          </w:p>
        </w:tc>
        <w:tc>
          <w:tcPr>
            <w:tcW w:w="1281" w:type="dxa"/>
          </w:tcPr>
          <w:p w14:paraId="595FD11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0.7286</w:t>
            </w:r>
          </w:p>
        </w:tc>
      </w:tr>
      <w:tr w14:paraId="5BDCB35B">
        <w:trPr>
          <w:jc w:val="center"/>
        </w:trPr>
        <w:tc>
          <w:tcPr>
            <w:tcW w:w="1900" w:type="dxa"/>
          </w:tcPr>
          <w:p w14:paraId="3E3EB92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Voting（集成）</w:t>
            </w:r>
          </w:p>
        </w:tc>
        <w:tc>
          <w:tcPr>
            <w:tcW w:w="1281" w:type="dxa"/>
          </w:tcPr>
          <w:p w14:paraId="4CCFE30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0.6601</w:t>
            </w:r>
          </w:p>
        </w:tc>
        <w:tc>
          <w:tcPr>
            <w:tcW w:w="1281" w:type="dxa"/>
          </w:tcPr>
          <w:p w14:paraId="3128C49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0.3280</w:t>
            </w:r>
          </w:p>
        </w:tc>
        <w:tc>
          <w:tcPr>
            <w:tcW w:w="1281" w:type="dxa"/>
          </w:tcPr>
          <w:p w14:paraId="5D75F7F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0.6708</w:t>
            </w:r>
          </w:p>
        </w:tc>
        <w:tc>
          <w:tcPr>
            <w:tcW w:w="1281" w:type="dxa"/>
          </w:tcPr>
          <w:p w14:paraId="40115C7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0.4405</w:t>
            </w:r>
          </w:p>
        </w:tc>
        <w:tc>
          <w:tcPr>
            <w:tcW w:w="1281" w:type="dxa"/>
          </w:tcPr>
          <w:p w14:paraId="4EBB8C4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0.7276</w:t>
            </w:r>
          </w:p>
        </w:tc>
      </w:tr>
      <w:tr w14:paraId="1FBD6826">
        <w:trPr>
          <w:jc w:val="center"/>
        </w:trPr>
        <w:tc>
          <w:tcPr>
            <w:tcW w:w="1900" w:type="dxa"/>
          </w:tcPr>
          <w:p w14:paraId="1AF65A7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</w:t>
            </w:r>
          </w:p>
        </w:tc>
        <w:tc>
          <w:tcPr>
            <w:tcW w:w="1281" w:type="dxa"/>
          </w:tcPr>
          <w:p w14:paraId="3D11FAA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0.6566</w:t>
            </w:r>
          </w:p>
        </w:tc>
        <w:tc>
          <w:tcPr>
            <w:tcW w:w="1281" w:type="dxa"/>
          </w:tcPr>
          <w:p w14:paraId="00D9ED5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0.3271</w:t>
            </w:r>
          </w:p>
        </w:tc>
        <w:tc>
          <w:tcPr>
            <w:tcW w:w="1281" w:type="dxa"/>
          </w:tcPr>
          <w:p w14:paraId="7F470A1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0.6825</w:t>
            </w:r>
          </w:p>
        </w:tc>
        <w:tc>
          <w:tcPr>
            <w:tcW w:w="1281" w:type="dxa"/>
          </w:tcPr>
          <w:p w14:paraId="13ED19C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0.4422</w:t>
            </w:r>
          </w:p>
        </w:tc>
        <w:tc>
          <w:tcPr>
            <w:tcW w:w="1281" w:type="dxa"/>
          </w:tcPr>
          <w:p w14:paraId="68992C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0.7294</w:t>
            </w:r>
          </w:p>
        </w:tc>
      </w:tr>
      <w:tr w14:paraId="1E0E5C0B">
        <w:trPr>
          <w:jc w:val="center"/>
        </w:trPr>
        <w:tc>
          <w:tcPr>
            <w:tcW w:w="1900" w:type="dxa"/>
          </w:tcPr>
          <w:p w14:paraId="7651EC8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Stacking（集成）</w:t>
            </w:r>
          </w:p>
        </w:tc>
        <w:tc>
          <w:tcPr>
            <w:tcW w:w="1281" w:type="dxa"/>
          </w:tcPr>
          <w:p w14:paraId="1900AC9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0.6553</w:t>
            </w:r>
          </w:p>
        </w:tc>
        <w:tc>
          <w:tcPr>
            <w:tcW w:w="1281" w:type="dxa"/>
          </w:tcPr>
          <w:p w14:paraId="5C33C23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0.3267</w:t>
            </w:r>
          </w:p>
        </w:tc>
        <w:tc>
          <w:tcPr>
            <w:tcW w:w="1281" w:type="dxa"/>
          </w:tcPr>
          <w:p w14:paraId="3042000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0.6860</w:t>
            </w:r>
          </w:p>
        </w:tc>
        <w:tc>
          <w:tcPr>
            <w:tcW w:w="1281" w:type="dxa"/>
          </w:tcPr>
          <w:p w14:paraId="694D2D0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0.4426</w:t>
            </w:r>
          </w:p>
        </w:tc>
        <w:tc>
          <w:tcPr>
            <w:tcW w:w="1281" w:type="dxa"/>
          </w:tcPr>
          <w:p w14:paraId="2FF06CD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0.7298</w:t>
            </w:r>
          </w:p>
        </w:tc>
      </w:tr>
    </w:tbl>
    <w:p w14:paraId="1B180B2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20B601F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2062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0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8F3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3｜验证集性能对比：左图 AUC（排序能力，虚线为 XGB 基线），右图阈值 0.5 下的 F1。灰色=W2 基线，蓝色=调参后，橙色=集成。</w:t>
      </w:r>
    </w:p>
    <w:p w14:paraId="377EDA5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看到什么：AUC 排序为 Stacking 0.7298 ≈ LGB 0.7294 ≈ XGB（优化）0.7286 &gt; 三个基线；最优相对 XGB 基线提升约 +0.002。集成只比单模型高一点点。</w:t>
      </w:r>
    </w:p>
    <w:p w14:paraId="317FD8F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意味着什么：①调参确实有效，但幅度在 ±0.001 级别——AUC 衡量的是排序能力，参数优化改的是细节，改变不了特征里有多少信息；②四个集成队员里有三个是“树亲戚”，观点太像，互补空间有限；③七个模型全部落在 0.72–0.73，说明这组数据的判别力天花板就在附近，结论不依赖某个模型的选择。</w:t>
      </w:r>
    </w:p>
    <w:p w14:paraId="61B0CA5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6BE62E1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6. 补充实验：模型之间的差距是真是假</w:t>
      </w:r>
    </w:p>
    <w:p w14:paraId="2169BFC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第 5 节的成绩单上，七个模型的 AUC 差得很小——LGB（优化）与 Stacking 只差 0.0004。这么小的差距，是真实差距，还是“这批验证样本的运气”？为了不靠感觉下结论，我们在同一批验证集（159,700 人）上做了配对检验，两种方法互相印证：DeLong 检验（比较两个模型 AUC 的统计学标准做法）和 Bootstrap 重抽样（有放回重抽 1,000 次，看差值的分布区间）。</w:t>
      </w:r>
    </w:p>
    <w:p w14:paraId="62E94CC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结果为 10 组两两对比、9 组显著。差值最小的 LGB（优化）vs Stacking 只差 0.0004，但 p=0.008，仍然显著；唯一不显著的是 XGB（基线）vs Voting，差值 0.0000、p=0.96——投票集成等于白干。</w:t>
      </w:r>
    </w:p>
    <w:p w14:paraId="6D646F0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怎么理解：两个模型判的是同一批人，判断高度相关（相关系数约 0.95），配对检验把噪声抵消掉一大块，所以这么小的差距也能测出来。结论不是“分不出高下”，而是：差距是真的，但小到不值得为它多付代价——Stacking 预测耗时 249 秒、LGB 只要 6 秒，约 40 倍，换 0.0004 的 AUC 不划算。最终模型因此选 LGB（优化）：与最好的集成模型差距小到业务上可忽略（AUC 差 0.0004），成本只有约四十分之一。</w:t>
      </w:r>
    </w:p>
    <w:p w14:paraId="1827FFF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26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2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381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4｜各组 AUC 差值的 Bootstrap 95% 置信区间。横线不跨 0 = 差异显著；唯一跨 0 的一组是 XGB（基线）与 Voting。</w:t>
      </w:r>
    </w:p>
    <w:p w14:paraId="1735E32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58747CD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7. SHAP：模型到底看什么做判断</w:t>
      </w:r>
    </w:p>
    <w:p w14:paraId="308C314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W2 的特征重要性只能告诉我们“哪些特征被用得多”，SHAP 更进一步：能算出每个特征把判断推向违约还是推向正常、推了多大。类比：把模型对某一个人的判断拆成一笔一笔的贡献，正负相抵就是最终结论。</w:t>
      </w:r>
    </w:p>
    <w:p w14:paraId="1E82830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对最优树模型 LGB（优化）在训练集抽 5 万行计算，全局归因前十名：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500"/>
        <w:gridCol w:w="3905"/>
      </w:tblGrid>
      <w:tr w14:paraId="7B6D422A">
        <w:trPr>
          <w:jc w:val="center"/>
        </w:trPr>
        <w:tc>
          <w:tcPr>
            <w:tcW w:w="2900" w:type="dxa"/>
          </w:tcPr>
          <w:p w14:paraId="4AC0B80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</w:t>
            </w:r>
          </w:p>
        </w:tc>
        <w:tc>
          <w:tcPr>
            <w:tcW w:w="1500" w:type="dxa"/>
          </w:tcPr>
          <w:p w14:paraId="45C07ED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归因强度</w:t>
            </w:r>
          </w:p>
        </w:tc>
        <w:tc>
          <w:tcPr>
            <w:tcW w:w="3905" w:type="dxa"/>
          </w:tcPr>
          <w:p w14:paraId="4869839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含义</w:t>
            </w:r>
          </w:p>
        </w:tc>
      </w:tr>
      <w:tr w14:paraId="1707E5ED">
        <w:trPr>
          <w:jc w:val="center"/>
        </w:trPr>
        <w:tc>
          <w:tcPr>
            <w:tcW w:w="2900" w:type="dxa"/>
          </w:tcPr>
          <w:p w14:paraId="27A9763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</w:t>
            </w:r>
          </w:p>
        </w:tc>
        <w:tc>
          <w:tcPr>
            <w:tcW w:w="1500" w:type="dxa"/>
          </w:tcPr>
          <w:p w14:paraId="417D799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0.335</w:t>
            </w:r>
          </w:p>
        </w:tc>
        <w:tc>
          <w:tcPr>
            <w:tcW w:w="3905" w:type="dxa"/>
          </w:tcPr>
          <w:p w14:paraId="2FC09D7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贷款子等级（细分档位）</w:t>
            </w:r>
          </w:p>
        </w:tc>
      </w:tr>
      <w:tr w14:paraId="0AB8B163">
        <w:trPr>
          <w:jc w:val="center"/>
        </w:trPr>
        <w:tc>
          <w:tcPr>
            <w:tcW w:w="2900" w:type="dxa"/>
          </w:tcPr>
          <w:p w14:paraId="46AC372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term</w:t>
            </w:r>
          </w:p>
        </w:tc>
        <w:tc>
          <w:tcPr>
            <w:tcW w:w="1500" w:type="dxa"/>
          </w:tcPr>
          <w:p w14:paraId="70914F6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0.165</w:t>
            </w:r>
          </w:p>
        </w:tc>
        <w:tc>
          <w:tcPr>
            <w:tcW w:w="3905" w:type="dxa"/>
          </w:tcPr>
          <w:p w14:paraId="7B6017F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贷款期限</w:t>
            </w:r>
          </w:p>
        </w:tc>
      </w:tr>
      <w:tr w14:paraId="09E0CB52">
        <w:trPr>
          <w:jc w:val="center"/>
        </w:trPr>
        <w:tc>
          <w:tcPr>
            <w:tcW w:w="2900" w:type="dxa"/>
          </w:tcPr>
          <w:p w14:paraId="4C51072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homeOwnership_1</w:t>
            </w:r>
          </w:p>
        </w:tc>
        <w:tc>
          <w:tcPr>
            <w:tcW w:w="1500" w:type="dxa"/>
          </w:tcPr>
          <w:p w14:paraId="4EAB318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0.122</w:t>
            </w:r>
          </w:p>
        </w:tc>
        <w:tc>
          <w:tcPr>
            <w:tcW w:w="3905" w:type="dxa"/>
          </w:tcPr>
          <w:p w14:paraId="3DAE2CA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房屋所有权（类别 1）</w:t>
            </w:r>
          </w:p>
        </w:tc>
      </w:tr>
      <w:tr w14:paraId="16C1CD17">
        <w:trPr>
          <w:jc w:val="center"/>
        </w:trPr>
        <w:tc>
          <w:tcPr>
            <w:tcW w:w="2900" w:type="dxa"/>
          </w:tcPr>
          <w:p w14:paraId="23840E6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</w:t>
            </w:r>
          </w:p>
        </w:tc>
        <w:tc>
          <w:tcPr>
            <w:tcW w:w="1500" w:type="dxa"/>
          </w:tcPr>
          <w:p w14:paraId="4E088E0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0.099</w:t>
            </w:r>
          </w:p>
        </w:tc>
        <w:tc>
          <w:tcPr>
            <w:tcW w:w="3905" w:type="dxa"/>
          </w:tcPr>
          <w:p w14:paraId="724DA9F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贷款等级</w:t>
            </w:r>
          </w:p>
        </w:tc>
      </w:tr>
      <w:tr w14:paraId="31F1966B">
        <w:trPr>
          <w:jc w:val="center"/>
        </w:trPr>
        <w:tc>
          <w:tcPr>
            <w:tcW w:w="2900" w:type="dxa"/>
          </w:tcPr>
          <w:p w14:paraId="552A58E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fico_avg</w:t>
            </w:r>
          </w:p>
        </w:tc>
        <w:tc>
          <w:tcPr>
            <w:tcW w:w="1500" w:type="dxa"/>
          </w:tcPr>
          <w:p w14:paraId="7CF0755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0.091</w:t>
            </w:r>
          </w:p>
        </w:tc>
        <w:tc>
          <w:tcPr>
            <w:tcW w:w="3905" w:type="dxa"/>
          </w:tcPr>
          <w:p w14:paraId="1495919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 信用分（上下限均值，W2 新建）</w:t>
            </w:r>
          </w:p>
        </w:tc>
      </w:tr>
      <w:tr w14:paraId="04BDD3B0">
        <w:trPr>
          <w:jc w:val="center"/>
        </w:trPr>
        <w:tc>
          <w:tcPr>
            <w:tcW w:w="2900" w:type="dxa"/>
          </w:tcPr>
          <w:p w14:paraId="4B88104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regionCode_enc</w:t>
            </w:r>
          </w:p>
        </w:tc>
        <w:tc>
          <w:tcPr>
            <w:tcW w:w="1500" w:type="dxa"/>
          </w:tcPr>
          <w:p w14:paraId="669576B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0.086</w:t>
            </w:r>
          </w:p>
        </w:tc>
        <w:tc>
          <w:tcPr>
            <w:tcW w:w="3905" w:type="dxa"/>
          </w:tcPr>
          <w:p w14:paraId="6A9EF4C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地区编码</w:t>
            </w:r>
          </w:p>
        </w:tc>
      </w:tr>
      <w:tr w14:paraId="29CB0C7B">
        <w:trPr>
          <w:jc w:val="center"/>
        </w:trPr>
        <w:tc>
          <w:tcPr>
            <w:tcW w:w="2900" w:type="dxa"/>
          </w:tcPr>
          <w:p w14:paraId="0CDA685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n14</w:t>
            </w:r>
          </w:p>
        </w:tc>
        <w:tc>
          <w:tcPr>
            <w:tcW w:w="1500" w:type="dxa"/>
          </w:tcPr>
          <w:p w14:paraId="61FC296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0.083</w:t>
            </w:r>
          </w:p>
        </w:tc>
        <w:tc>
          <w:tcPr>
            <w:tcW w:w="3905" w:type="dxa"/>
          </w:tcPr>
          <w:p w14:paraId="7D8F99B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匿名行为计数特征</w:t>
            </w:r>
          </w:p>
        </w:tc>
      </w:tr>
      <w:tr w14:paraId="78D50112">
        <w:trPr>
          <w:jc w:val="center"/>
        </w:trPr>
        <w:tc>
          <w:tcPr>
            <w:tcW w:w="2900" w:type="dxa"/>
          </w:tcPr>
          <w:p w14:paraId="5B03E06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</w:t>
            </w:r>
          </w:p>
        </w:tc>
        <w:tc>
          <w:tcPr>
            <w:tcW w:w="1500" w:type="dxa"/>
          </w:tcPr>
          <w:p w14:paraId="7F7C9CA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0.077</w:t>
            </w:r>
          </w:p>
        </w:tc>
        <w:tc>
          <w:tcPr>
            <w:tcW w:w="3905" w:type="dxa"/>
          </w:tcPr>
          <w:p w14:paraId="03AD0CC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贷款利率</w:t>
            </w:r>
          </w:p>
        </w:tc>
      </w:tr>
      <w:tr w14:paraId="6CA7AC34">
        <w:trPr>
          <w:jc w:val="center"/>
        </w:trPr>
        <w:tc>
          <w:tcPr>
            <w:tcW w:w="2900" w:type="dxa"/>
          </w:tcPr>
          <w:p w14:paraId="36ABF2A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dti</w:t>
            </w:r>
          </w:p>
        </w:tc>
        <w:tc>
          <w:tcPr>
            <w:tcW w:w="1500" w:type="dxa"/>
          </w:tcPr>
          <w:p w14:paraId="6F4AA96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0.077</w:t>
            </w:r>
          </w:p>
        </w:tc>
        <w:tc>
          <w:tcPr>
            <w:tcW w:w="3905" w:type="dxa"/>
          </w:tcPr>
          <w:p w14:paraId="55DDE6B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债务收入比</w:t>
            </w:r>
          </w:p>
        </w:tc>
      </w:tr>
      <w:tr w14:paraId="43CC4215">
        <w:trPr>
          <w:jc w:val="center"/>
        </w:trPr>
        <w:tc>
          <w:tcPr>
            <w:tcW w:w="2900" w:type="dxa"/>
          </w:tcPr>
          <w:p w14:paraId="1D6CABE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installment_income_ratio</w:t>
            </w:r>
          </w:p>
        </w:tc>
        <w:tc>
          <w:tcPr>
            <w:tcW w:w="1500" w:type="dxa"/>
          </w:tcPr>
          <w:p w14:paraId="0577DE6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0.076</w:t>
            </w:r>
          </w:p>
        </w:tc>
        <w:tc>
          <w:tcPr>
            <w:tcW w:w="3905" w:type="dxa"/>
          </w:tcPr>
          <w:p w14:paraId="6F713AA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月供收入比（W2 新建）</w:t>
            </w:r>
          </w:p>
        </w:tc>
      </w:tr>
    </w:tbl>
    <w:p w14:paraId="0D15967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339249A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582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58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CC3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5｜SHAP 全局归因（前 20 个特征）。每个点是一位客户，横轴 SHAP 值（向右=推向违约），颜色代表特征取值高低（红=高，蓝=低）。</w:t>
      </w:r>
    </w:p>
    <w:p w14:paraId="3FB99E1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解读：子等级 + 期限合计贡献约 0.5，贷款条件本身主导模型判断——这与 W1 的 EDA（grade 违约率随等级单调变化）、W2 的特征重要性三处印证，结论很硬。FICO、dti、月供收入比等“还款能力”特征紧随其后，符合风控直觉：先看贷款条件，再看还款能力。W2 新建的 fico_avg、installment_income_ratio 进入前十，说明特征工程确实有用。</w:t>
      </w:r>
    </w:p>
    <w:p w14:paraId="7290823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3F02C33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8. 业务解读要点</w:t>
      </w:r>
    </w:p>
    <w:p w14:paraId="0BA1311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模型适合做“排序初筛”：AUC 0.73 = 随机抽一对（一真违约、一真正常），模型有 73% 概率把违约者排前面。可以给风控名单排序、辅助人工审核，不适合全自动放款。</w:t>
      </w:r>
    </w:p>
    <w:p w14:paraId="4AB04FD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阈值 0.5 下精确率约 0.33，是“宁可多抓、不肯放过”的激进策略的代价；阈值本质是业务取舍，W4 会给不同阈值的对照表，由业务方结合坏账损失与放贷收益来定。</w:t>
      </w:r>
    </w:p>
    <w:p w14:paraId="188AFC9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风控规则的第一道防线可以围绕贷款条件字段（子等级、期限、等级、利率）设置，模型和业务常识指向一致。</w:t>
      </w:r>
    </w:p>
    <w:p w14:paraId="17C332A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DACEF2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9. 下周计划（W4，9/21–9/27）</w:t>
      </w:r>
    </w:p>
    <w:p w14:paraId="2D5CD8D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启用封存至今的 10% 测试集（79,850 人）做最终评估，并做泛化能力分析（训练/验证/测试三线对比）；</w:t>
      </w:r>
    </w:p>
    <w:p w14:paraId="4823E86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结合业务目标做风险阈值选择，给出不同阈值下的拒绝率、误伤率、拦截率对照；</w:t>
      </w:r>
    </w:p>
    <w:p w14:paraId="7AB9BC3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分析模型局限与改进建议；</w:t>
      </w:r>
    </w:p>
    <w:p w14:paraId="5182E73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整合交付：10–15 页最终项目报告、交互式业务仪表板、演示 PPT、main_pipeline 全流程与 README。</w:t>
      </w:r>
    </w:p>
    <w:p w14:paraId="68715A6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1256EF3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10. 问题与解决</w:t>
      </w:r>
    </w:p>
    <w:p w14:paraId="1452DDA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问题一：集成提升很小（最高只比单模型高 0.0004）。解决：先确认这不是实现错误（同族模型观点相似是主因），再把它写进结论——把“提升有限”如实汇报，比包装成大幅提升更可信。</w:t>
      </w:r>
    </w:p>
    <w:p w14:paraId="719495D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问题二：SHAP 的单客户解释图（force plot）可读性差、维护成本高。解决：本次只交付全局归因（summary 图 + 归因表），单客户解释不纳入交付，避免给业务方增加理解负担。</w:t>
      </w:r>
    </w:p>
    <w:p w14:paraId="692B22D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问题三：模型之间的 AUC 差距太小（最小 0.0004），无法凭成绩单直接下结论。解决：补做 DeLong + Bootstrap 配对检验，把“真实差距”和“抽样噪声”分开；结论是差距真实但代价不成比例，最终选成本最低的 LGB（优化）。</w:t>
      </w:r>
    </w:p>
    <w:sectPr>
      <w:pgSz w:w="11905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5D4736"/>
    <w:rsid w:val="7F5300DF"/>
    <w:rsid w:val="C76BFBD9"/>
    <w:rsid w:val="EF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qzuser</cp:lastModifiedBy>
  <dcterms:modified xsi:type="dcterms:W3CDTF">2026-09-17T14:11:40Z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0C802699B4BDD4E8E1B8A76AAF92BFB9_43</vt:lpwstr>
  </property>
</Properties>
</file>