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76157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信贷违约预测项目 · 模型优化报告（W3）</w:t>
      </w:r>
    </w:p>
    <w:p w14:paraId="27D3178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项目：基于用户历史数据与行为特征的信贷违约预测模型</w:t>
      </w:r>
    </w:p>
    <w:p w14:paraId="20D8CCA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阶段：W3 模型优化（对应项目任务 5.1–5.4，含 SHAP 模型解释）</w:t>
      </w:r>
    </w:p>
    <w:p w14:paraId="2F51E877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输入：data/train_final.csv（798,498 行 × 39 列 = 38 个特征 + 目标变量 isDefault）</w:t>
      </w:r>
    </w:p>
    <w:p w14:paraId="645A81A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代码：scripts/W3/model_optimization.py（调优与集成）、optimization_plots.py（配图）、tuning_method_compare.py（调参方法对照）、tuning_full_combo.py（两模型 × 三方法全组合对照）、model_significance_test.py（模型差异显著性检验）、prediction_cost.py（训练/预测耗时实测）</w:t>
      </w:r>
    </w:p>
    <w:p w14:paraId="12CF6D9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产物：outputs/W3/ 调优参数记录、优化前后对比表、调参方法全组合对照（tuning_full_combo.png、tuning_full_combo_summary.csv、tuning_full_combo.csv（144 条逐次记录）、tuning_full_combo_bigspace.csv）、显著性检验、SHAP 归因图与归因表、训练与预测耗时实测（prediction_cost.csv）</w:t>
      </w:r>
    </w:p>
    <w:p w14:paraId="61178A0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日期：2026/9/21</w:t>
      </w:r>
    </w:p>
    <w:p w14:paraId="379EF323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摘要</w:t>
      </w:r>
    </w:p>
    <w:p w14:paraId="5E17874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一、调优有效，但幅度有限。用随机搜索 + 5 折交叉验证为 XGBoost、LightGBM 各试 8 组参数，最优的 K 折平均 AUC 分别为 0.7247 与 0.7249；把最优参数放回验证集复测，XGB 从基线 0.7276 升到 0.7286，LGB 达 0.7294，堆叠集成最高 0.7298，相对基线提升约 +0.002。</w:t>
      </w:r>
    </w:p>
    <w:p w14:paraId="5618BDD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二、提升小是正常结果，不是方法没用对。AUC 衡量的是“排序能力”，基线模型已经把数据里的主要信号学得差不多了；参数优化是在细节上微调，真正决定天花板的是特征里有没有更多信息，而不是模型参数。</w:t>
      </w:r>
    </w:p>
    <w:p w14:paraId="09E625F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三、模型之间的结论互相印证。7 个模型（3 基线 + 2 优化 + 2 集成）的验证集 AUC 全部落在 0.719–0.730 的窄区间，说明这组数据能支持的判别力就在这个水平，结论不依赖某一个模型，报告可信。</w:t>
      </w:r>
    </w:p>
    <w:p w14:paraId="6E720AC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四、SHAP 告诉业务：模型首先看“贷款条件”。子等级（subGrade）、期限（term）、房屋所有权、等级（grade）、FICO 信用分排在前列，与 W1 的 EDA、W2 的特征重要性三处互相印证。</w:t>
      </w:r>
    </w:p>
    <w:p w14:paraId="5031091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五、两组补充实验让结论更扎实。一是调参方法的全组合对照：XGBoost 与 LightGBM 各跑网格 / 随机 / 贝叶斯三种方法，共 6 个组合等预算比拼，结果是同一模型内三种方法的最优水平完全一致（贝叶斯两次都精确命中网格的最优组合、成绩一模一样，随机只差 0.00015 与 0.00011），说明在这类小离散空间里随机搜索没有漏掉更优的参数区域；二是模型差异的显著性检验（DeLong + Bootstrap，10 组两两对比中 9 组显著），说明模型之间的差距是真的，但小到不值得为它多付算力（Stacking 内部要训练 21 次、实测 371 秒，LGB 只要 5.6 秒），最终模型因此选 LGB（优化）。</w:t>
      </w:r>
    </w:p>
    <w:p w14:paraId="7DF98A2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六、数据纪律全程守住。10% 测试集（79,850 人）从 W2 切出后一次未碰，留给阶段 6 做最终确认。</w:t>
      </w:r>
    </w:p>
    <w:p w14:paraId="2EA6B50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01A509F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1. 本阶段目标与数据纪律</w:t>
      </w:r>
    </w:p>
    <w:p w14:paraId="0AE5A3C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本阶段的目标有两个：一是把 W2 的基线模型“往好里推一推”，二是把模型“为什么这么判断”讲清楚。对应项目任务 5.1 超参数调优、5.2 交叉验证、5.3 模型集成、5.4 调优后复测，以及模型解释（SHAP）。</w:t>
      </w:r>
    </w:p>
    <w:p w14:paraId="5056C80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数据划分沿用 W2 model_training.py 的完全一致口径：训练集 558,948 人 / 验证集 159,700 人 / 测试集 79,850 人（7:2:1 分层抽样，random_state=42）。三条线各司其职、不串线——K 折交叉验证只在训练集内部进行；验证集只用于最终复测；测试集留到阶段 6。这样做是为了防止“用调过参的模型再去测同一批数据”这种自欺欺人的做法。</w:t>
      </w:r>
    </w:p>
    <w:p w14:paraId="730B2E7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2. 超参数调优（任务 5.1）</w:t>
      </w:r>
    </w:p>
    <w:p w14:paraId="6BB0951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2.1 调参方法的选择：两个模型 × 三种方法的全组合对照实验</w:t>
      </w:r>
    </w:p>
    <w:p w14:paraId="43A297E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任务 5.1 列了三种主流搜索方式：</w:t>
      </w:r>
    </w:p>
    <w:p w14:paraId="3F62CDB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网格搜索：所有取值做全组合、一个不漏。正式调参空间是 6 个参数 × 每个 3 个取值（3^6 = 729 组），每组还要跑 5 折交叉验证，共 3,600 多次训练，55.9 万行的训练集上时间不现实。</w:t>
      </w:r>
    </w:p>
    <w:p w14:paraId="61D78AC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贝叶斯优化（TPE）：根据前几次的成绩，优先试“更可能出好成绩”的区域，理论上更省次数。</w:t>
      </w:r>
    </w:p>
    <w:p w14:paraId="09F40FE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随机搜索：从参数空间里随机抽固定组数，实现最简单、与模型库配合最顺。</w:t>
      </w:r>
    </w:p>
    <w:p w14:paraId="580A20F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直觉上，贝叶斯边试边学最省次数，网格一个不漏但最贵，随机搜索最简单、但可能靠运气漏掉好区域。三种方法到底差多少，要用等预算的对照实验来回答。正式调参的对象是 XGBoost 与 LightGBM，对照按“2 个模型 × 3 种方法”全组合展开，共 6 个组合。设置：从训练集 558,948 行里分层抽 20 万行子样本（违约率约 20%），统一 3 折交叉验证、同一模型下三种方法共用同一套折（保证成绩可比）；用子样本是为控制时间成本（单次评估 XGBoost 约 4 秒、LightGBM 约 10 秒），对照只比方法、不需要最终规模。对照分两步走：先在“网格能枚举完”的小空间里取基准，再在“网格跑不动”的大空间里复核。</w:t>
      </w:r>
    </w:p>
    <w:p w14:paraId="2076F5A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实验一（小空间）：两个模型各有一套 4 旋钮、24 个组合的小空间（XGBoost：max_depth 3 档 × 学习率 2 档 × 树数量 2 档 × 列采样 2 档；LightGBM 把 max_depth 换成 num_leaves），三种方法各给 24 次评估预算。结果是 6 个组合的最优成绩处在同一水平：XGBoost 网格 0.7217 / 随机 0.7216 / 贝叶斯 0.7217，LightGBM 网格 0.7210 / 随机 0.7209 / 贝叶斯 0.7210；同一模型内三种方法的极差都不到 0.0002（XGBoost 0.721550–0.721698、LightGBM 0.720922–0.721035；贝叶斯两次都精确命中网格的最优组合，随机只差 0.00015 与 0.00011）。同一实验里同口径比一比：24 个组合的成绩跨度是 0.0124（XGBoost）与 0.0125（LightGBM），换参数的影响是换方法的 80–110 倍；两个模型之间约 0.0007 的差距来自算法本身，与调参方法无关。差别只在试错效率：贝叶斯的 24 次平均成绩在两个模型上都是最高（XGB 0.7198，高于网格 0.7186、随机 0.7177；LGB 0.7192，高于 0.7173、0.7165）。</w:t>
      </w:r>
    </w:p>
    <w:p w14:paraId="0C18DEE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实验二（大空间）：小空间只有 24 个格子，贝叶斯“边试边学”的本事发挥不出来，所以把空间放宽到 6 个旋钮、取值范围也拉开（学习率 0.01–0.15 取对数、树数量 100–500、深度 4–12）。这个空间里多数旋钮是连续取值，网格法根本枚举不完——就算每个旋钮只取 5 档，也有 5^6 = 15,625 组，按单次评估的速度要跑十几到四十多小时，算力上不可行，因此只比随机与贝叶斯、各给 30 次预算。先交代一处机制：贝叶斯实现（TPE）的热身期是 5 次，前 5 次仍用随机采样（脚本里 n_startup_trials=5），所以两条轨迹的前 5 次逐次完全相同、第 6 次起才分开——热身期占掉了 30 次预算的六分之一。最优成绩：XGBoost 随机 0.7224、贝叶斯 0.7227；LightGBM 两者同为 0.7219。平均成绩贝叶斯依然领先（XGB 0.7206 vs 0.7176；LGB 0.7201 vs 0.7186），而且第 6 次之后贝叶斯的最低分是 0.7162，随机搜索却抽到过三次 0.6997–0.7000 的低分。代价是：同样 30 次评估，LightGBM 上贝叶斯耗时 378 秒、随机 280 秒（慢 35%），XGBoost 上两者接近（142 秒 vs 163 秒）。</w:t>
      </w:r>
    </w:p>
    <w:p w14:paraId="6BEFF40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结论：正式调参采用随机搜索，理由有两条。1.交付的是“找到的最优点”、不是“平均成绩”：正式空间是 6 个参数各 3 档的 729 组小离散格子，与实验一同属一类，而实验一里三种方法的最优成绩完全一致（极差不到 0.0002，只有换参数影响的 1/80–1/110），说明在这类空间里，能拿到什么水平由“试到哪一组”决定，换哪种搜索方式几乎不改变结果。2.实现与复现成本：随机搜索是 scikit-learn 自带、一行调用、结果可复现；贝叶斯要额外引入 optuna、采样过程是不透明的黑箱、复现更依赖随机种子。这一条按“透明可维护”取胜，不以“更快”取胜。</w:t>
      </w:r>
      <w:bookmarkStart w:id="0" w:name="_GoBack"/>
      <w:bookmarkEnd w:id="0"/>
    </w:p>
    <w:p w14:paraId="2E8AEFE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口径说明：两个模型各自独立跑完、结论一致；对照实验与全量 5 折的正式调参可能存在细微差异，故只用于方法比较，不参与最终模型选择。</w:t>
      </w:r>
    </w:p>
    <w:p w14:paraId="0F5A06A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5406390" cy="3743960"/>
            <wp:effectExtent l="0" t="0" r="381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6390" cy="374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F5E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1｜两个模型 × 三种调参方法的全组合等预算对照。(a) XGBoost、(b) LightGBM 在小空间（4 旋钮、24 个组合）上的收敛曲线：横轴是第几次评估，纵轴是该方法跑到该次为止的最好成绩（只升不降），每个面板三条线对应三种方法，曲线末端的数字是 24 次结束时的最好成绩；(c) 6 个组合的试错质量箱线图，◆为平均成绩、★为最好成绩；(d) 6 旋钮大空间里随机搜索与贝叶斯优化的最好成绩曲线，XGBoost 实线、LightGBM 虚线。</w:t>
      </w:r>
    </w:p>
    <w:p w14:paraId="671976B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2.2 调参对象与参数空间</w:t>
      </w:r>
    </w:p>
    <w:p w14:paraId="63832B7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调参只针对 XGBoost 和 LightGBM：树模型参数多、提升空间大，且直接承载 W3 的优化目标。逻辑回归只有正则化强度等少量参数，随机森林调参代价高、收益低，二者保持 W2 基线参数不动——这样“优化前后”的对比才干净。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2600"/>
        <w:gridCol w:w="2100"/>
        <w:gridCol w:w="2105"/>
      </w:tblGrid>
      <w:tr w14:paraId="0334E460">
        <w:trPr>
          <w:jc w:val="center"/>
        </w:trPr>
        <w:tc>
          <w:tcPr>
            <w:tcW w:w="1500" w:type="dxa"/>
          </w:tcPr>
          <w:p w14:paraId="3CEB826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参数</w:t>
            </w:r>
          </w:p>
        </w:tc>
        <w:tc>
          <w:tcPr>
            <w:tcW w:w="2600" w:type="dxa"/>
          </w:tcPr>
          <w:p w14:paraId="18B03D7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大白话</w:t>
            </w:r>
          </w:p>
        </w:tc>
        <w:tc>
          <w:tcPr>
            <w:tcW w:w="2100" w:type="dxa"/>
          </w:tcPr>
          <w:p w14:paraId="4BEE88B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XGBoost 取值</w:t>
            </w:r>
          </w:p>
        </w:tc>
        <w:tc>
          <w:tcPr>
            <w:tcW w:w="2105" w:type="dxa"/>
          </w:tcPr>
          <w:p w14:paraId="05D86BC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LightGBM 取值</w:t>
            </w:r>
          </w:p>
        </w:tc>
      </w:tr>
      <w:tr w14:paraId="2F359D07">
        <w:trPr>
          <w:jc w:val="center"/>
        </w:trPr>
        <w:tc>
          <w:tcPr>
            <w:tcW w:w="1500" w:type="dxa"/>
          </w:tcPr>
          <w:p w14:paraId="39037EA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n_estimators</w:t>
            </w:r>
          </w:p>
        </w:tc>
        <w:tc>
          <w:tcPr>
            <w:tcW w:w="2600" w:type="dxa"/>
          </w:tcPr>
          <w:p w14:paraId="10EEA20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树的数量</w:t>
            </w:r>
          </w:p>
        </w:tc>
        <w:tc>
          <w:tcPr>
            <w:tcW w:w="2100" w:type="dxa"/>
          </w:tcPr>
          <w:p w14:paraId="1431B45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100 / 200 / 300</w:t>
            </w:r>
          </w:p>
        </w:tc>
        <w:tc>
          <w:tcPr>
            <w:tcW w:w="2105" w:type="dxa"/>
          </w:tcPr>
          <w:p w14:paraId="70A3D74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100 / 200 / 300</w:t>
            </w:r>
          </w:p>
        </w:tc>
      </w:tr>
      <w:tr w14:paraId="101AFD3A">
        <w:trPr>
          <w:jc w:val="center"/>
        </w:trPr>
        <w:tc>
          <w:tcPr>
            <w:tcW w:w="1500" w:type="dxa"/>
          </w:tcPr>
          <w:p w14:paraId="7AC72EF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max_depth</w:t>
            </w:r>
          </w:p>
        </w:tc>
        <w:tc>
          <w:tcPr>
            <w:tcW w:w="2600" w:type="dxa"/>
          </w:tcPr>
          <w:p w14:paraId="582C5C0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每棵树最多长几层</w:t>
            </w:r>
          </w:p>
        </w:tc>
        <w:tc>
          <w:tcPr>
            <w:tcW w:w="2100" w:type="dxa"/>
          </w:tcPr>
          <w:p w14:paraId="7875531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4 / 6 / 8</w:t>
            </w:r>
          </w:p>
        </w:tc>
        <w:tc>
          <w:tcPr>
            <w:tcW w:w="2105" w:type="dxa"/>
          </w:tcPr>
          <w:p w14:paraId="6E421A4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不限 / 6 / 8</w:t>
            </w:r>
          </w:p>
        </w:tc>
      </w:tr>
      <w:tr w14:paraId="54925D0A">
        <w:trPr>
          <w:jc w:val="center"/>
        </w:trPr>
        <w:tc>
          <w:tcPr>
            <w:tcW w:w="1500" w:type="dxa"/>
          </w:tcPr>
          <w:p w14:paraId="1FC0AFB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learning_rate</w:t>
            </w:r>
          </w:p>
        </w:tc>
        <w:tc>
          <w:tcPr>
            <w:tcW w:w="2600" w:type="dxa"/>
          </w:tcPr>
          <w:p w14:paraId="733B472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每棵树的纠错步长（小步慢学）</w:t>
            </w:r>
          </w:p>
        </w:tc>
        <w:tc>
          <w:tcPr>
            <w:tcW w:w="2100" w:type="dxa"/>
          </w:tcPr>
          <w:p w14:paraId="69768B7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0.03 / 0.05 / 0.1</w:t>
            </w:r>
          </w:p>
        </w:tc>
        <w:tc>
          <w:tcPr>
            <w:tcW w:w="2105" w:type="dxa"/>
          </w:tcPr>
          <w:p w14:paraId="04EFA7E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0.03 / 0.05 / 0.1</w:t>
            </w:r>
          </w:p>
        </w:tc>
      </w:tr>
      <w:tr w14:paraId="1153442C">
        <w:trPr>
          <w:jc w:val="center"/>
        </w:trPr>
        <w:tc>
          <w:tcPr>
            <w:tcW w:w="1500" w:type="dxa"/>
          </w:tcPr>
          <w:p w14:paraId="05BB4B5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subsample</w:t>
            </w:r>
          </w:p>
        </w:tc>
        <w:tc>
          <w:tcPr>
            <w:tcW w:w="2600" w:type="dxa"/>
          </w:tcPr>
          <w:p w14:paraId="7D4301E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每棵树随机抽多少比例的人</w:t>
            </w:r>
          </w:p>
        </w:tc>
        <w:tc>
          <w:tcPr>
            <w:tcW w:w="2100" w:type="dxa"/>
          </w:tcPr>
          <w:p w14:paraId="1E659E6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 / 0.8 / 1.0</w:t>
            </w:r>
          </w:p>
        </w:tc>
        <w:tc>
          <w:tcPr>
            <w:tcW w:w="2105" w:type="dxa"/>
          </w:tcPr>
          <w:p w14:paraId="2D29C40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 / 0.8 / 1.0</w:t>
            </w:r>
          </w:p>
        </w:tc>
      </w:tr>
      <w:tr w14:paraId="63063808">
        <w:trPr>
          <w:jc w:val="center"/>
        </w:trPr>
        <w:tc>
          <w:tcPr>
            <w:tcW w:w="1500" w:type="dxa"/>
          </w:tcPr>
          <w:p w14:paraId="1607579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colsample_bytree</w:t>
            </w:r>
          </w:p>
        </w:tc>
        <w:tc>
          <w:tcPr>
            <w:tcW w:w="2600" w:type="dxa"/>
          </w:tcPr>
          <w:p w14:paraId="36118D9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每棵树随机看多少比例的特征</w:t>
            </w:r>
          </w:p>
        </w:tc>
        <w:tc>
          <w:tcPr>
            <w:tcW w:w="2100" w:type="dxa"/>
          </w:tcPr>
          <w:p w14:paraId="426D0B6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 / 0.8 / 1.0</w:t>
            </w:r>
          </w:p>
        </w:tc>
        <w:tc>
          <w:tcPr>
            <w:tcW w:w="2105" w:type="dxa"/>
          </w:tcPr>
          <w:p w14:paraId="0D28F64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 / 0.8 / 1.0</w:t>
            </w:r>
          </w:p>
        </w:tc>
      </w:tr>
      <w:tr w14:paraId="692AFA74">
        <w:trPr>
          <w:jc w:val="center"/>
        </w:trPr>
        <w:tc>
          <w:tcPr>
            <w:tcW w:w="1500" w:type="dxa"/>
          </w:tcPr>
          <w:p w14:paraId="1CD7999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min_child_weight</w:t>
            </w:r>
          </w:p>
        </w:tc>
        <w:tc>
          <w:tcPr>
            <w:tcW w:w="2600" w:type="dxa"/>
          </w:tcPr>
          <w:p w14:paraId="36770B9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节点至少装多少样本才允许再分</w:t>
            </w:r>
          </w:p>
        </w:tc>
        <w:tc>
          <w:tcPr>
            <w:tcW w:w="2100" w:type="dxa"/>
          </w:tcPr>
          <w:p w14:paraId="4F9DCA6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1 / 3 / 5</w:t>
            </w:r>
          </w:p>
        </w:tc>
        <w:tc>
          <w:tcPr>
            <w:tcW w:w="2105" w:type="dxa"/>
          </w:tcPr>
          <w:p w14:paraId="4EBEF7F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—</w:t>
            </w:r>
          </w:p>
        </w:tc>
      </w:tr>
      <w:tr w14:paraId="6613B8CE">
        <w:trPr>
          <w:jc w:val="center"/>
        </w:trPr>
        <w:tc>
          <w:tcPr>
            <w:tcW w:w="1500" w:type="dxa"/>
          </w:tcPr>
          <w:p w14:paraId="095FAAA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num_leaves</w:t>
            </w:r>
          </w:p>
        </w:tc>
        <w:tc>
          <w:tcPr>
            <w:tcW w:w="2600" w:type="dxa"/>
          </w:tcPr>
          <w:p w14:paraId="636BF74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每棵树最多多少片叶子（LGB 专用）</w:t>
            </w:r>
          </w:p>
        </w:tc>
        <w:tc>
          <w:tcPr>
            <w:tcW w:w="2100" w:type="dxa"/>
          </w:tcPr>
          <w:p w14:paraId="4801202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—</w:t>
            </w:r>
          </w:p>
        </w:tc>
        <w:tc>
          <w:tcPr>
            <w:tcW w:w="2105" w:type="dxa"/>
          </w:tcPr>
          <w:p w14:paraId="0227CCB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31 / 63 / 127</w:t>
            </w:r>
          </w:p>
        </w:tc>
      </w:tr>
    </w:tbl>
    <w:p w14:paraId="2218A353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0A42E0E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2.3 调优结果</w:t>
      </w:r>
    </w:p>
    <w:p w14:paraId="3304CDD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每个模型 8 组参数、每组取 5 折平均 AUC 作为评分（完整 16 组见 outputs/W3/random_search_results.csv）：</w:t>
      </w:r>
    </w:p>
    <w:p w14:paraId="3A76A29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XGBoost 最优 0.7247：subsample=0.8、n_estimators=200、min_child_weight=3、max_depth=8、learning_rate=0.05、colsample_bytree=0.7</w:t>
      </w:r>
    </w:p>
    <w:p w14:paraId="375E68D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LightGBM 最优 0.7249：subsample=0.8、num_leaves=63、n_estimators=200、max_depth=8、learning_rate=0.05、colsample_bytree=0.7</w:t>
      </w:r>
    </w:p>
    <w:p w14:paraId="364072B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两个模型的第一名几乎打平（差距 0.0002），而且最优点都落在“树多一些（200）、深度适中（8）、小步学习（0.05）、随机抽样（0.7–0.8）”的同一片区域——说明这个方向是稳定有效的，不是碰运气。反过来看，16 组里的最差一组 AUC 也有 0.7167，与最优只差 0.008，参数确实有影响，但幅度有限，没有出现明显更优或明显崩掉的组合。</w:t>
      </w:r>
    </w:p>
    <w:p w14:paraId="087BCE1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986020" cy="2149475"/>
            <wp:effectExtent l="0" t="0" r="1778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602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B87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2｜随机搜索 16 组参数的 5 折平均 AUC（蓝=XGBoost，绿=LightGBM，红框=各模型最优；误差棒为 5 折标准差）。每组的 5 折标准差都 ≤0.00071，说明 5 次“考试”难度稳定、评分可靠。</w:t>
      </w:r>
    </w:p>
    <w:p w14:paraId="060B6BC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10BB6FA4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3. 交叉验证策略（任务 5.2）</w:t>
      </w:r>
    </w:p>
    <w:p w14:paraId="67C53FE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采用 StratifiedKFold(5)：把训练集切成 5 份，轮流用其中 1 份当验证、另外 4 份训练；“Stratified”指每折的违约比例都保持与总体一致（约 20%），保证 5 次考试的难度相当。每组参数的成绩取 5 折平均 AUC。</w:t>
      </w:r>
    </w:p>
    <w:p w14:paraId="32F575D4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为什么要交叉验证：单切一次验证集，成绩会受“这一次切分运气好不好”影响；切 5 份轮流考、取平均，评分更稳，也不浪费数据。16 组参数的 5 折标准差全部不超过 0.00071，说明评分本身非常稳定——调参结论因此可信。</w:t>
      </w:r>
    </w:p>
    <w:p w14:paraId="3925455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5025DE9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4. 模型集成（任务 5.3）</w:t>
      </w:r>
    </w:p>
    <w:p w14:paraId="075C7FE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集成的基本想法：一个模型可能在某类客户上判断偏保守、另一个偏激进，把多个模型的意思合起来，通常比单打独斗稳。本阶段做了两种集成，基础队员是四个：LR（线性视角）、RF（装袋树）、XGB（优化）、LGB（优化）。</w:t>
      </w:r>
    </w:p>
    <w:p w14:paraId="1E215B5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投票法（soft voting）：四个模型各输出一个违约概率，直接取平均。类比：四位分析师各给一个概率，最终取平均意见。</w:t>
      </w:r>
    </w:p>
    <w:p w14:paraId="527E942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堆叠法（stacking）：先把四个模型的预测概率当作“新特征”，再训练一个逻辑回归来综合判断。类比：教练不看原始数据，只看四个队员的结论再做最终裁决；内部用 5 折交叉验证，防止教练“背队员的答案”。</w:t>
      </w:r>
    </w:p>
    <w:p w14:paraId="6BD59ED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另外把 LightGBM 加入对比：它与 XGBoost 同属梯度提升树，训练更快，作为同族第二选手可以防止“单一实现带来的偶然偏差”。</w:t>
      </w:r>
    </w:p>
    <w:p w14:paraId="6288B930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4C8FEEE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5. 优化后模型再训练与评估（任务 5.4）</w:t>
      </w:r>
    </w:p>
    <w:p w14:paraId="1697EB10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全部 7 个模型在验证集（159,700 人，模型训练时没见过）上复测，统一用 0.5 作为判别阈值，结果如下：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1281"/>
        <w:gridCol w:w="1281"/>
        <w:gridCol w:w="1281"/>
        <w:gridCol w:w="1281"/>
        <w:gridCol w:w="1281"/>
      </w:tblGrid>
      <w:tr w14:paraId="3C5041BE">
        <w:trPr>
          <w:jc w:val="center"/>
        </w:trPr>
        <w:tc>
          <w:tcPr>
            <w:tcW w:w="1900" w:type="dxa"/>
          </w:tcPr>
          <w:p w14:paraId="7BD1B6A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模型</w:t>
            </w:r>
          </w:p>
        </w:tc>
        <w:tc>
          <w:tcPr>
            <w:tcW w:w="1281" w:type="dxa"/>
          </w:tcPr>
          <w:p w14:paraId="01E0E4C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准确率</w:t>
            </w:r>
          </w:p>
        </w:tc>
        <w:tc>
          <w:tcPr>
            <w:tcW w:w="1281" w:type="dxa"/>
          </w:tcPr>
          <w:p w14:paraId="0781620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精确率</w:t>
            </w:r>
          </w:p>
        </w:tc>
        <w:tc>
          <w:tcPr>
            <w:tcW w:w="1281" w:type="dxa"/>
          </w:tcPr>
          <w:p w14:paraId="0FAAFBD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召回率</w:t>
            </w:r>
          </w:p>
        </w:tc>
        <w:tc>
          <w:tcPr>
            <w:tcW w:w="1281" w:type="dxa"/>
          </w:tcPr>
          <w:p w14:paraId="2D91A6A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F1</w:t>
            </w:r>
          </w:p>
        </w:tc>
        <w:tc>
          <w:tcPr>
            <w:tcW w:w="1281" w:type="dxa"/>
          </w:tcPr>
          <w:p w14:paraId="158DAC9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AUC</w:t>
            </w:r>
          </w:p>
        </w:tc>
      </w:tr>
      <w:tr w14:paraId="6614F260">
        <w:trPr>
          <w:jc w:val="center"/>
        </w:trPr>
        <w:tc>
          <w:tcPr>
            <w:tcW w:w="1900" w:type="dxa"/>
          </w:tcPr>
          <w:p w14:paraId="35AF565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LR（基线）</w:t>
            </w:r>
          </w:p>
        </w:tc>
        <w:tc>
          <w:tcPr>
            <w:tcW w:w="1281" w:type="dxa"/>
          </w:tcPr>
          <w:p w14:paraId="34DEE25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0.6582</w:t>
            </w:r>
          </w:p>
        </w:tc>
        <w:tc>
          <w:tcPr>
            <w:tcW w:w="1281" w:type="dxa"/>
          </w:tcPr>
          <w:p w14:paraId="2FCDD42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0.3241</w:t>
            </w:r>
          </w:p>
        </w:tc>
        <w:tc>
          <w:tcPr>
            <w:tcW w:w="1281" w:type="dxa"/>
          </w:tcPr>
          <w:p w14:paraId="182819C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0.6572</w:t>
            </w:r>
          </w:p>
        </w:tc>
        <w:tc>
          <w:tcPr>
            <w:tcW w:w="1281" w:type="dxa"/>
          </w:tcPr>
          <w:p w14:paraId="6CA1235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0.4341</w:t>
            </w:r>
          </w:p>
        </w:tc>
        <w:tc>
          <w:tcPr>
            <w:tcW w:w="1281" w:type="dxa"/>
          </w:tcPr>
          <w:p w14:paraId="782A59C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0.7189</w:t>
            </w:r>
          </w:p>
        </w:tc>
      </w:tr>
      <w:tr w14:paraId="56537C69">
        <w:trPr>
          <w:jc w:val="center"/>
        </w:trPr>
        <w:tc>
          <w:tcPr>
            <w:tcW w:w="1900" w:type="dxa"/>
          </w:tcPr>
          <w:p w14:paraId="34DD72B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RF（基线）</w:t>
            </w:r>
          </w:p>
        </w:tc>
        <w:tc>
          <w:tcPr>
            <w:tcW w:w="1281" w:type="dxa"/>
          </w:tcPr>
          <w:p w14:paraId="360F6C9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0.6507</w:t>
            </w:r>
          </w:p>
        </w:tc>
        <w:tc>
          <w:tcPr>
            <w:tcW w:w="1281" w:type="dxa"/>
          </w:tcPr>
          <w:p w14:paraId="07143F2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0.3208</w:t>
            </w:r>
          </w:p>
        </w:tc>
        <w:tc>
          <w:tcPr>
            <w:tcW w:w="1281" w:type="dxa"/>
          </w:tcPr>
          <w:p w14:paraId="7B020BE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0.6723</w:t>
            </w:r>
          </w:p>
        </w:tc>
        <w:tc>
          <w:tcPr>
            <w:tcW w:w="1281" w:type="dxa"/>
          </w:tcPr>
          <w:p w14:paraId="44F0680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0.4343</w:t>
            </w:r>
          </w:p>
        </w:tc>
        <w:tc>
          <w:tcPr>
            <w:tcW w:w="1281" w:type="dxa"/>
          </w:tcPr>
          <w:p w14:paraId="1250C18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0.7198</w:t>
            </w:r>
          </w:p>
        </w:tc>
      </w:tr>
      <w:tr w14:paraId="471AC3F9">
        <w:trPr>
          <w:jc w:val="center"/>
        </w:trPr>
        <w:tc>
          <w:tcPr>
            <w:tcW w:w="1900" w:type="dxa"/>
          </w:tcPr>
          <w:p w14:paraId="79077407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XGB（基线）</w:t>
            </w:r>
          </w:p>
        </w:tc>
        <w:tc>
          <w:tcPr>
            <w:tcW w:w="1281" w:type="dxa"/>
          </w:tcPr>
          <w:p w14:paraId="408ACD9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0.6559</w:t>
            </w:r>
          </w:p>
        </w:tc>
        <w:tc>
          <w:tcPr>
            <w:tcW w:w="1281" w:type="dxa"/>
          </w:tcPr>
          <w:p w14:paraId="3D7B14E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0.3259</w:t>
            </w:r>
          </w:p>
        </w:tc>
        <w:tc>
          <w:tcPr>
            <w:tcW w:w="1281" w:type="dxa"/>
          </w:tcPr>
          <w:p w14:paraId="09489FA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0.6785</w:t>
            </w:r>
          </w:p>
        </w:tc>
        <w:tc>
          <w:tcPr>
            <w:tcW w:w="1281" w:type="dxa"/>
          </w:tcPr>
          <w:p w14:paraId="2B49878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0.4403</w:t>
            </w:r>
          </w:p>
        </w:tc>
        <w:tc>
          <w:tcPr>
            <w:tcW w:w="1281" w:type="dxa"/>
          </w:tcPr>
          <w:p w14:paraId="283EF04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0.7276</w:t>
            </w:r>
          </w:p>
        </w:tc>
      </w:tr>
      <w:tr w14:paraId="53C73C63">
        <w:trPr>
          <w:jc w:val="center"/>
        </w:trPr>
        <w:tc>
          <w:tcPr>
            <w:tcW w:w="1900" w:type="dxa"/>
          </w:tcPr>
          <w:p w14:paraId="3AFB1E3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XGB（优化）</w:t>
            </w:r>
          </w:p>
        </w:tc>
        <w:tc>
          <w:tcPr>
            <w:tcW w:w="1281" w:type="dxa"/>
          </w:tcPr>
          <w:p w14:paraId="7FAF4FC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0.6636</w:t>
            </w:r>
          </w:p>
        </w:tc>
        <w:tc>
          <w:tcPr>
            <w:tcW w:w="1281" w:type="dxa"/>
          </w:tcPr>
          <w:p w14:paraId="26CC5AD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0.3301</w:t>
            </w:r>
          </w:p>
        </w:tc>
        <w:tc>
          <w:tcPr>
            <w:tcW w:w="1281" w:type="dxa"/>
          </w:tcPr>
          <w:p w14:paraId="4149EE6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0.6672</w:t>
            </w:r>
          </w:p>
        </w:tc>
        <w:tc>
          <w:tcPr>
            <w:tcW w:w="1281" w:type="dxa"/>
          </w:tcPr>
          <w:p w14:paraId="3EC7306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0.4417</w:t>
            </w:r>
          </w:p>
        </w:tc>
        <w:tc>
          <w:tcPr>
            <w:tcW w:w="1281" w:type="dxa"/>
          </w:tcPr>
          <w:p w14:paraId="5E38FFD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0.7286</w:t>
            </w:r>
          </w:p>
        </w:tc>
      </w:tr>
      <w:tr w14:paraId="1532B004">
        <w:trPr>
          <w:jc w:val="center"/>
        </w:trPr>
        <w:tc>
          <w:tcPr>
            <w:tcW w:w="1900" w:type="dxa"/>
          </w:tcPr>
          <w:p w14:paraId="5731E39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Voting（集成）</w:t>
            </w:r>
          </w:p>
        </w:tc>
        <w:tc>
          <w:tcPr>
            <w:tcW w:w="1281" w:type="dxa"/>
          </w:tcPr>
          <w:p w14:paraId="552E21C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0.6601</w:t>
            </w:r>
          </w:p>
        </w:tc>
        <w:tc>
          <w:tcPr>
            <w:tcW w:w="1281" w:type="dxa"/>
          </w:tcPr>
          <w:p w14:paraId="5C08AEB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0.3280</w:t>
            </w:r>
          </w:p>
        </w:tc>
        <w:tc>
          <w:tcPr>
            <w:tcW w:w="1281" w:type="dxa"/>
          </w:tcPr>
          <w:p w14:paraId="739A6FA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0.6708</w:t>
            </w:r>
          </w:p>
        </w:tc>
        <w:tc>
          <w:tcPr>
            <w:tcW w:w="1281" w:type="dxa"/>
          </w:tcPr>
          <w:p w14:paraId="0A7D87F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0.4405</w:t>
            </w:r>
          </w:p>
        </w:tc>
        <w:tc>
          <w:tcPr>
            <w:tcW w:w="1281" w:type="dxa"/>
          </w:tcPr>
          <w:p w14:paraId="4AFDFA5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0.7276</w:t>
            </w:r>
          </w:p>
        </w:tc>
      </w:tr>
      <w:tr w14:paraId="1C3A5398">
        <w:trPr>
          <w:jc w:val="center"/>
        </w:trPr>
        <w:tc>
          <w:tcPr>
            <w:tcW w:w="1900" w:type="dxa"/>
          </w:tcPr>
          <w:p w14:paraId="02BFA12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LGB（优化）</w:t>
            </w:r>
          </w:p>
        </w:tc>
        <w:tc>
          <w:tcPr>
            <w:tcW w:w="1281" w:type="dxa"/>
          </w:tcPr>
          <w:p w14:paraId="6C095BE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0.6566</w:t>
            </w:r>
          </w:p>
        </w:tc>
        <w:tc>
          <w:tcPr>
            <w:tcW w:w="1281" w:type="dxa"/>
          </w:tcPr>
          <w:p w14:paraId="611242E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0.3271</w:t>
            </w:r>
          </w:p>
        </w:tc>
        <w:tc>
          <w:tcPr>
            <w:tcW w:w="1281" w:type="dxa"/>
          </w:tcPr>
          <w:p w14:paraId="0CB9C11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0.6825</w:t>
            </w:r>
          </w:p>
        </w:tc>
        <w:tc>
          <w:tcPr>
            <w:tcW w:w="1281" w:type="dxa"/>
          </w:tcPr>
          <w:p w14:paraId="3D0EFE5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0.4422</w:t>
            </w:r>
          </w:p>
        </w:tc>
        <w:tc>
          <w:tcPr>
            <w:tcW w:w="1281" w:type="dxa"/>
          </w:tcPr>
          <w:p w14:paraId="276F4DC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0.7294</w:t>
            </w:r>
          </w:p>
        </w:tc>
      </w:tr>
      <w:tr w14:paraId="63E1354B">
        <w:trPr>
          <w:jc w:val="center"/>
        </w:trPr>
        <w:tc>
          <w:tcPr>
            <w:tcW w:w="1900" w:type="dxa"/>
          </w:tcPr>
          <w:p w14:paraId="04437FA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Stacking（集成）</w:t>
            </w:r>
          </w:p>
        </w:tc>
        <w:tc>
          <w:tcPr>
            <w:tcW w:w="1281" w:type="dxa"/>
          </w:tcPr>
          <w:p w14:paraId="5FBABB3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0.6553</w:t>
            </w:r>
          </w:p>
        </w:tc>
        <w:tc>
          <w:tcPr>
            <w:tcW w:w="1281" w:type="dxa"/>
          </w:tcPr>
          <w:p w14:paraId="3DFB401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0.3267</w:t>
            </w:r>
          </w:p>
        </w:tc>
        <w:tc>
          <w:tcPr>
            <w:tcW w:w="1281" w:type="dxa"/>
          </w:tcPr>
          <w:p w14:paraId="0B2D1AD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0.6860</w:t>
            </w:r>
          </w:p>
        </w:tc>
        <w:tc>
          <w:tcPr>
            <w:tcW w:w="1281" w:type="dxa"/>
          </w:tcPr>
          <w:p w14:paraId="2664D06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0.4426</w:t>
            </w:r>
          </w:p>
        </w:tc>
        <w:tc>
          <w:tcPr>
            <w:tcW w:w="1281" w:type="dxa"/>
          </w:tcPr>
          <w:p w14:paraId="0C67B36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0.7298</w:t>
            </w:r>
          </w:p>
        </w:tc>
      </w:tr>
    </w:tbl>
    <w:p w14:paraId="5CB13A3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480ACC4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5282565" cy="2244090"/>
            <wp:effectExtent l="0" t="0" r="635" b="165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256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BD0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3｜验证集性能对比：左图为 AUC（排序能力），虚线是 XGB 基线；右图为阈值 0.5 下的 F1。灰色=W2 基线，蓝色=调参后，橙色=集成。</w:t>
      </w:r>
    </w:p>
    <w:p w14:paraId="1B4F0D0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怎么读这张表：</w:t>
      </w:r>
    </w:p>
    <w:p w14:paraId="5703485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AUC 排序：Stacking 0.7298 ≈ LGB 0.7294 ≈ XGB（优化）0.7286 &gt; 三个基线（0.719–0.728）。最优比 XGB 基线提升约 +0.002。</w:t>
      </w:r>
    </w:p>
    <w:p w14:paraId="4E52C33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调参有效但幅度小：相对基线，纯调参只带来约 +0.001（XGB 0.7276 → 0.7286），另外约 0.001 来自换用 LGB 与集成。这不是失败——AUC 衡量排序能力，参数优化改的是细节，改变不了特征本身的信息量。</w:t>
      </w:r>
    </w:p>
    <w:p w14:paraId="1538F42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集成略高于单模型但很接近：四个队员里三个是“树亲戚”，观点相似，互补空间有限。要真正拉开差距，靠的是更好的特征，而不是把模型叠得更多层。</w:t>
      </w:r>
    </w:p>
    <w:p w14:paraId="05FDF96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阈值 0.5 下精确率约 0.33：这是“宁可多抓、不肯放过”的激进策略带来的代价。阈值本质是业务取舍（严审少误伤 vs 宽进多抓坏人），阶段 6 会给出不同阈值的对照表供业务方选择，而不是由模型单方面决定。</w:t>
      </w:r>
    </w:p>
    <w:p w14:paraId="09380EA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392A0D8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5.5 补充实验：模型之间的差距是真是假（显著性检验）</w:t>
      </w:r>
    </w:p>
    <w:p w14:paraId="76A039D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为什么做：七个模型的 AUC 差距很小——最大差距 0.011，LGB（优化）与 Stacking 只差 0.0004。这么小的差距，可能是真实的实力差异，也可能只是“这批验证样本的运气”。所以在模型对比之后补一步统计检验，回答“这个差距究竟显不显著”。</w:t>
      </w:r>
    </w:p>
    <w:p w14:paraId="7145BEE4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怎么做：在同一批验证集样本（159,700 人）上做配对比较，两种方法互相印证：</w:t>
      </w:r>
    </w:p>
    <w:p w14:paraId="211F983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DeLong 检验：专门用于比较两个模型 AUC 的配对检验（风控、医学里比较评分模型的标准做法）。因为两个模型判的是同一批人，误差高度相关，配对检验比普通检验灵敏得多。</w:t>
      </w:r>
    </w:p>
    <w:p w14:paraId="2B5B732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Bootstrap 重抽样：把验证集有放回地重抽 1,000 次，每次重算各模型的 AUC，看差值的分布——给出 95% 置信区间，与 DeLong 结果对照。</w:t>
      </w:r>
    </w:p>
    <w:p w14:paraId="7F203174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结果（10 组两两对比，9 组显著）：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0"/>
        <w:gridCol w:w="1600"/>
        <w:gridCol w:w="1700"/>
        <w:gridCol w:w="1605"/>
      </w:tblGrid>
      <w:tr w14:paraId="7D4D003D">
        <w:trPr>
          <w:jc w:val="center"/>
        </w:trPr>
        <w:tc>
          <w:tcPr>
            <w:tcW w:w="3400" w:type="dxa"/>
          </w:tcPr>
          <w:p w14:paraId="4A5C300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对比（A vs B）</w:t>
            </w:r>
          </w:p>
        </w:tc>
        <w:tc>
          <w:tcPr>
            <w:tcW w:w="1600" w:type="dxa"/>
          </w:tcPr>
          <w:p w14:paraId="2B64BA3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AUC 差值</w:t>
            </w:r>
          </w:p>
        </w:tc>
        <w:tc>
          <w:tcPr>
            <w:tcW w:w="1700" w:type="dxa"/>
          </w:tcPr>
          <w:p w14:paraId="7A2ECC2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DeLong p 值</w:t>
            </w:r>
          </w:p>
        </w:tc>
        <w:tc>
          <w:tcPr>
            <w:tcW w:w="1605" w:type="dxa"/>
          </w:tcPr>
          <w:p w14:paraId="5E8025B7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是否显著</w:t>
            </w:r>
          </w:p>
        </w:tc>
      </w:tr>
      <w:tr w14:paraId="4A81E3E2">
        <w:trPr>
          <w:jc w:val="center"/>
        </w:trPr>
        <w:tc>
          <w:tcPr>
            <w:tcW w:w="3400" w:type="dxa"/>
          </w:tcPr>
          <w:p w14:paraId="151ADDF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LGB（优化） vs Voting</w:t>
            </w:r>
          </w:p>
        </w:tc>
        <w:tc>
          <w:tcPr>
            <w:tcW w:w="1600" w:type="dxa"/>
          </w:tcPr>
          <w:p w14:paraId="06187A2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+0.0018</w:t>
            </w:r>
          </w:p>
        </w:tc>
        <w:tc>
          <w:tcPr>
            <w:tcW w:w="1700" w:type="dxa"/>
          </w:tcPr>
          <w:p w14:paraId="47A34CA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&lt;0.001</w:t>
            </w:r>
          </w:p>
        </w:tc>
        <w:tc>
          <w:tcPr>
            <w:tcW w:w="1605" w:type="dxa"/>
          </w:tcPr>
          <w:p w14:paraId="00A13B1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09B2AD50">
        <w:trPr>
          <w:jc w:val="center"/>
        </w:trPr>
        <w:tc>
          <w:tcPr>
            <w:tcW w:w="3400" w:type="dxa"/>
          </w:tcPr>
          <w:p w14:paraId="622C162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XGB（优化） vs Voting</w:t>
            </w:r>
          </w:p>
        </w:tc>
        <w:tc>
          <w:tcPr>
            <w:tcW w:w="1600" w:type="dxa"/>
          </w:tcPr>
          <w:p w14:paraId="26CC50C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+0.0010</w:t>
            </w:r>
          </w:p>
        </w:tc>
        <w:tc>
          <w:tcPr>
            <w:tcW w:w="1700" w:type="dxa"/>
          </w:tcPr>
          <w:p w14:paraId="50DF53D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0.0002</w:t>
            </w:r>
          </w:p>
        </w:tc>
        <w:tc>
          <w:tcPr>
            <w:tcW w:w="1605" w:type="dxa"/>
          </w:tcPr>
          <w:p w14:paraId="22D7C49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39EF5E68">
        <w:trPr>
          <w:jc w:val="center"/>
        </w:trPr>
        <w:tc>
          <w:tcPr>
            <w:tcW w:w="3400" w:type="dxa"/>
          </w:tcPr>
          <w:p w14:paraId="12C5672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XGB（基线） vs XGB（优化）</w:t>
            </w:r>
          </w:p>
        </w:tc>
        <w:tc>
          <w:tcPr>
            <w:tcW w:w="1600" w:type="dxa"/>
          </w:tcPr>
          <w:p w14:paraId="30D3A9F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-0.0010</w:t>
            </w:r>
          </w:p>
        </w:tc>
        <w:tc>
          <w:tcPr>
            <w:tcW w:w="1700" w:type="dxa"/>
          </w:tcPr>
          <w:p w14:paraId="1A68853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0.0009</w:t>
            </w:r>
          </w:p>
        </w:tc>
        <w:tc>
          <w:tcPr>
            <w:tcW w:w="1605" w:type="dxa"/>
          </w:tcPr>
          <w:p w14:paraId="72F6E19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3C0649C8">
        <w:trPr>
          <w:jc w:val="center"/>
        </w:trPr>
        <w:tc>
          <w:tcPr>
            <w:tcW w:w="3400" w:type="dxa"/>
          </w:tcPr>
          <w:p w14:paraId="1EF461F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XGB（优化） vs LGB（优化）</w:t>
            </w:r>
          </w:p>
        </w:tc>
        <w:tc>
          <w:tcPr>
            <w:tcW w:w="1600" w:type="dxa"/>
          </w:tcPr>
          <w:p w14:paraId="510F9F5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-0.0008</w:t>
            </w:r>
          </w:p>
        </w:tc>
        <w:tc>
          <w:tcPr>
            <w:tcW w:w="1700" w:type="dxa"/>
          </w:tcPr>
          <w:p w14:paraId="1187D76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0.0013</w:t>
            </w:r>
          </w:p>
        </w:tc>
        <w:tc>
          <w:tcPr>
            <w:tcW w:w="1605" w:type="dxa"/>
          </w:tcPr>
          <w:p w14:paraId="4BF0F7F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2C42A69D">
        <w:trPr>
          <w:jc w:val="center"/>
        </w:trPr>
        <w:tc>
          <w:tcPr>
            <w:tcW w:w="3400" w:type="dxa"/>
          </w:tcPr>
          <w:p w14:paraId="16EA620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LGB（优化） vs Stacking</w:t>
            </w:r>
          </w:p>
        </w:tc>
        <w:tc>
          <w:tcPr>
            <w:tcW w:w="1600" w:type="dxa"/>
          </w:tcPr>
          <w:p w14:paraId="6283F5C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-0.0004</w:t>
            </w:r>
          </w:p>
        </w:tc>
        <w:tc>
          <w:tcPr>
            <w:tcW w:w="1700" w:type="dxa"/>
          </w:tcPr>
          <w:p w14:paraId="71E0345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0.0080</w:t>
            </w:r>
          </w:p>
        </w:tc>
        <w:tc>
          <w:tcPr>
            <w:tcW w:w="1605" w:type="dxa"/>
          </w:tcPr>
          <w:p w14:paraId="3C440B39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7299A79C">
        <w:trPr>
          <w:jc w:val="center"/>
        </w:trPr>
        <w:tc>
          <w:tcPr>
            <w:tcW w:w="3400" w:type="dxa"/>
          </w:tcPr>
          <w:p w14:paraId="4CB57E0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XGB（优化） vs Stacking</w:t>
            </w:r>
          </w:p>
        </w:tc>
        <w:tc>
          <w:tcPr>
            <w:tcW w:w="1600" w:type="dxa"/>
          </w:tcPr>
          <w:p w14:paraId="79A0534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-0.0013</w:t>
            </w:r>
          </w:p>
        </w:tc>
        <w:tc>
          <w:tcPr>
            <w:tcW w:w="1700" w:type="dxa"/>
          </w:tcPr>
          <w:p w14:paraId="12D47B6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&lt;0.001</w:t>
            </w:r>
          </w:p>
        </w:tc>
        <w:tc>
          <w:tcPr>
            <w:tcW w:w="1605" w:type="dxa"/>
          </w:tcPr>
          <w:p w14:paraId="6E5F309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3CEBFE60">
        <w:trPr>
          <w:jc w:val="center"/>
        </w:trPr>
        <w:tc>
          <w:tcPr>
            <w:tcW w:w="3400" w:type="dxa"/>
          </w:tcPr>
          <w:p w14:paraId="57C0FC7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XGB（基线） vs LGB（优化）</w:t>
            </w:r>
          </w:p>
        </w:tc>
        <w:tc>
          <w:tcPr>
            <w:tcW w:w="1600" w:type="dxa"/>
          </w:tcPr>
          <w:p w14:paraId="48F5D5F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-0.0018</w:t>
            </w:r>
          </w:p>
        </w:tc>
        <w:tc>
          <w:tcPr>
            <w:tcW w:w="1700" w:type="dxa"/>
          </w:tcPr>
          <w:p w14:paraId="0757A16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&lt;0.001</w:t>
            </w:r>
          </w:p>
        </w:tc>
        <w:tc>
          <w:tcPr>
            <w:tcW w:w="1605" w:type="dxa"/>
          </w:tcPr>
          <w:p w14:paraId="1FBF5D5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43AD7496">
        <w:trPr>
          <w:jc w:val="center"/>
        </w:trPr>
        <w:tc>
          <w:tcPr>
            <w:tcW w:w="3400" w:type="dxa"/>
          </w:tcPr>
          <w:p w14:paraId="0947BFD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XGB（基线） vs Stacking</w:t>
            </w:r>
          </w:p>
        </w:tc>
        <w:tc>
          <w:tcPr>
            <w:tcW w:w="1600" w:type="dxa"/>
          </w:tcPr>
          <w:p w14:paraId="14D3A2D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-0.0022</w:t>
            </w:r>
          </w:p>
        </w:tc>
        <w:tc>
          <w:tcPr>
            <w:tcW w:w="1700" w:type="dxa"/>
          </w:tcPr>
          <w:p w14:paraId="4E154E77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&lt;0.001</w:t>
            </w:r>
          </w:p>
        </w:tc>
        <w:tc>
          <w:tcPr>
            <w:tcW w:w="1605" w:type="dxa"/>
          </w:tcPr>
          <w:p w14:paraId="6504997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04575BA8">
        <w:trPr>
          <w:jc w:val="center"/>
        </w:trPr>
        <w:tc>
          <w:tcPr>
            <w:tcW w:w="3400" w:type="dxa"/>
          </w:tcPr>
          <w:p w14:paraId="61F8E4D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Voting vs Stacking</w:t>
            </w:r>
          </w:p>
        </w:tc>
        <w:tc>
          <w:tcPr>
            <w:tcW w:w="1600" w:type="dxa"/>
          </w:tcPr>
          <w:p w14:paraId="7D75642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-0.0022</w:t>
            </w:r>
          </w:p>
        </w:tc>
        <w:tc>
          <w:tcPr>
            <w:tcW w:w="1700" w:type="dxa"/>
          </w:tcPr>
          <w:p w14:paraId="338D777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&lt;0.001</w:t>
            </w:r>
          </w:p>
        </w:tc>
        <w:tc>
          <w:tcPr>
            <w:tcW w:w="1605" w:type="dxa"/>
          </w:tcPr>
          <w:p w14:paraId="76243B6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是</w:t>
            </w:r>
          </w:p>
        </w:tc>
      </w:tr>
      <w:tr w14:paraId="527A218B">
        <w:trPr>
          <w:jc w:val="center"/>
        </w:trPr>
        <w:tc>
          <w:tcPr>
            <w:tcW w:w="3400" w:type="dxa"/>
          </w:tcPr>
          <w:p w14:paraId="5743351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XGB（基线） vs Voting</w:t>
            </w:r>
          </w:p>
        </w:tc>
        <w:tc>
          <w:tcPr>
            <w:tcW w:w="1600" w:type="dxa"/>
          </w:tcPr>
          <w:p w14:paraId="25B5A10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0.0000</w:t>
            </w:r>
          </w:p>
        </w:tc>
        <w:tc>
          <w:tcPr>
            <w:tcW w:w="1700" w:type="dxa"/>
          </w:tcPr>
          <w:p w14:paraId="0379B05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0.9643</w:t>
            </w:r>
          </w:p>
        </w:tc>
        <w:tc>
          <w:tcPr>
            <w:tcW w:w="1605" w:type="dxa"/>
          </w:tcPr>
          <w:p w14:paraId="779B301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否</w:t>
            </w:r>
          </w:p>
        </w:tc>
      </w:tr>
    </w:tbl>
    <w:p w14:paraId="42257A93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0D65F6E7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42621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5210" cy="426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4A1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4｜各组 AUC 差值的 Bootstrap 95% 置信区间。横线不跨 0 = 差异显著；唯一跨 0 的一组是 XGB（基线）与 Voting。</w:t>
      </w:r>
    </w:p>
    <w:p w14:paraId="26EC70B2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怎么读这个结果：</w:t>
      </w:r>
    </w:p>
    <w:p w14:paraId="085B0D0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配对检验非常灵敏：两个模型对同一批人打分，判断高度相关（验证集上各模型预测概率的相关系数在 0.99 上下），这种相关性把随机噪声抵消掉一大块，所以 0.0004 这样的小差距也能测出来。</w:t>
      </w:r>
    </w:p>
    <w:p w14:paraId="058A44F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结论不是“分不出高下”，而是：差距是真的，但小到不值得为它多付代价。</w:t>
      </w:r>
    </w:p>
    <w:p w14:paraId="015548A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最关键的对比是 LGB（优化）vs Stacking（集成）：AUC 差 0.0004（显著），但 Stacking 内部要训练 4 个基模型 × 5 折再加 1 个元模型（共 21 次训练），LGB 只要 1 次——实测训练耗时 371 秒 vs 5.6 秒（约 66 倍），给 15.97 万人打分 0.95 秒 vs 0.46 秒（约 2 倍）。多花六十几倍的训练与维护成本换 0.0004 的 AUC，业务上不划算，</w:t>
      </w:r>
      <w:r>
        <w:rPr>
          <w:rFonts w:ascii="verdana" w:hAnsi="verdana" w:eastAsia="宋体"/>
          <w:b w:val="0"/>
          <w:bCs/>
          <w:sz w:val="16"/>
          <w:highlight w:val="yellow"/>
        </w:rPr>
        <w:t>因此最终模型选 LGB（优化）</w:t>
      </w:r>
      <w:r>
        <w:rPr>
          <w:rFonts w:ascii="verdana" w:hAnsi="verdana" w:eastAsia="宋体"/>
          <w:b w:val="0"/>
          <w:bCs/>
          <w:sz w:val="16"/>
        </w:rPr>
        <w:t>。</w:t>
      </w:r>
    </w:p>
    <w:p w14:paraId="1EA1D0C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另一个有价值的“不显著”：XGB（基线）vs Voting，差值 0.0000、p=0.9643——投票集成完全没有带来增益，进一步说明同族模型的集成空间有限。</w:t>
      </w:r>
    </w:p>
    <w:p w14:paraId="6556361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一句话总结：统计显著不等于业务重要。显著性检验帮我们把“真实差异”和“抽样噪声”分开；但选哪个模型，最终还要看成本、可解释性和上线维护的难度。</w:t>
      </w:r>
    </w:p>
    <w:p w14:paraId="68BFC04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4CC42DB8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6. SHAP 特征归因（模型解释）</w:t>
      </w:r>
    </w:p>
    <w:p w14:paraId="7573047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用什么解释：SHAP 是当前主流的模型解释方法，思路是“把每个特征对这一次预测的贡献算清楚”。类比：把模型对某个人的判断拆成一笔一笔的贡献——子等级加了多少分、期限减了多少分，正负相抵就是最终结论。相比 W2 的随机森林特征重要性（只能说“这个特征用得多少”），SHAP 还能区分“把判断推向违约还是推向正常”，信息量更大。</w:t>
      </w:r>
    </w:p>
    <w:p w14:paraId="555BC0F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解释对象：最优的树模型 LGB（优化）（验证集 AUC 最高；Stacking 的最终决策器是逻辑回归，不适合直接做树解释），在训练集中随机抽 5 万行计算。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0"/>
        <w:gridCol w:w="1500"/>
        <w:gridCol w:w="3905"/>
      </w:tblGrid>
      <w:tr w14:paraId="0589DB6A">
        <w:trPr>
          <w:jc w:val="center"/>
        </w:trPr>
        <w:tc>
          <w:tcPr>
            <w:tcW w:w="2900" w:type="dxa"/>
          </w:tcPr>
          <w:p w14:paraId="2605566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特征</w:t>
            </w:r>
          </w:p>
        </w:tc>
        <w:tc>
          <w:tcPr>
            <w:tcW w:w="1500" w:type="dxa"/>
          </w:tcPr>
          <w:p w14:paraId="425BAF4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归因强度</w:t>
            </w:r>
          </w:p>
        </w:tc>
        <w:tc>
          <w:tcPr>
            <w:tcW w:w="3905" w:type="dxa"/>
          </w:tcPr>
          <w:p w14:paraId="6AD4969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含义</w:t>
            </w:r>
          </w:p>
        </w:tc>
      </w:tr>
      <w:tr w14:paraId="01DB45B2">
        <w:trPr>
          <w:jc w:val="center"/>
        </w:trPr>
        <w:tc>
          <w:tcPr>
            <w:tcW w:w="2900" w:type="dxa"/>
          </w:tcPr>
          <w:p w14:paraId="38B43B9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subGrade_enc</w:t>
            </w:r>
          </w:p>
        </w:tc>
        <w:tc>
          <w:tcPr>
            <w:tcW w:w="1500" w:type="dxa"/>
          </w:tcPr>
          <w:p w14:paraId="7634036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0.335</w:t>
            </w:r>
          </w:p>
        </w:tc>
        <w:tc>
          <w:tcPr>
            <w:tcW w:w="3905" w:type="dxa"/>
          </w:tcPr>
          <w:p w14:paraId="5C8775F5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贷款子等级（细分档位）</w:t>
            </w:r>
          </w:p>
        </w:tc>
      </w:tr>
      <w:tr w14:paraId="3FF2C603">
        <w:trPr>
          <w:jc w:val="center"/>
        </w:trPr>
        <w:tc>
          <w:tcPr>
            <w:tcW w:w="2900" w:type="dxa"/>
          </w:tcPr>
          <w:p w14:paraId="6A21F1F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term</w:t>
            </w:r>
          </w:p>
        </w:tc>
        <w:tc>
          <w:tcPr>
            <w:tcW w:w="1500" w:type="dxa"/>
          </w:tcPr>
          <w:p w14:paraId="3CF7AA9A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0.165</w:t>
            </w:r>
          </w:p>
        </w:tc>
        <w:tc>
          <w:tcPr>
            <w:tcW w:w="3905" w:type="dxa"/>
          </w:tcPr>
          <w:p w14:paraId="7B52F84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贷款期限</w:t>
            </w:r>
          </w:p>
        </w:tc>
      </w:tr>
      <w:tr w14:paraId="7E4F7941">
        <w:trPr>
          <w:jc w:val="center"/>
        </w:trPr>
        <w:tc>
          <w:tcPr>
            <w:tcW w:w="2900" w:type="dxa"/>
          </w:tcPr>
          <w:p w14:paraId="4AE8517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homeOwnership_1</w:t>
            </w:r>
          </w:p>
        </w:tc>
        <w:tc>
          <w:tcPr>
            <w:tcW w:w="1500" w:type="dxa"/>
          </w:tcPr>
          <w:p w14:paraId="7EE4C3AD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0.122</w:t>
            </w:r>
          </w:p>
        </w:tc>
        <w:tc>
          <w:tcPr>
            <w:tcW w:w="3905" w:type="dxa"/>
          </w:tcPr>
          <w:p w14:paraId="4B01A1B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房屋所有权（类别 1）</w:t>
            </w:r>
          </w:p>
        </w:tc>
      </w:tr>
      <w:tr w14:paraId="1ED53F8D">
        <w:trPr>
          <w:jc w:val="center"/>
        </w:trPr>
        <w:tc>
          <w:tcPr>
            <w:tcW w:w="2900" w:type="dxa"/>
          </w:tcPr>
          <w:p w14:paraId="2D53DB78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grade_enc</w:t>
            </w:r>
          </w:p>
        </w:tc>
        <w:tc>
          <w:tcPr>
            <w:tcW w:w="1500" w:type="dxa"/>
          </w:tcPr>
          <w:p w14:paraId="2D808FA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0.099</w:t>
            </w:r>
          </w:p>
        </w:tc>
        <w:tc>
          <w:tcPr>
            <w:tcW w:w="3905" w:type="dxa"/>
          </w:tcPr>
          <w:p w14:paraId="2FC469C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贷款等级</w:t>
            </w:r>
          </w:p>
        </w:tc>
      </w:tr>
      <w:tr w14:paraId="0EDDE8EF">
        <w:trPr>
          <w:jc w:val="center"/>
        </w:trPr>
        <w:tc>
          <w:tcPr>
            <w:tcW w:w="2900" w:type="dxa"/>
          </w:tcPr>
          <w:p w14:paraId="12FCEF3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fico_avg</w:t>
            </w:r>
          </w:p>
        </w:tc>
        <w:tc>
          <w:tcPr>
            <w:tcW w:w="1500" w:type="dxa"/>
          </w:tcPr>
          <w:p w14:paraId="5AF32FD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0.091</w:t>
            </w:r>
          </w:p>
        </w:tc>
        <w:tc>
          <w:tcPr>
            <w:tcW w:w="3905" w:type="dxa"/>
          </w:tcPr>
          <w:p w14:paraId="60E6585F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FICO 信用分（上下限均值，W2 新建）</w:t>
            </w:r>
          </w:p>
        </w:tc>
      </w:tr>
      <w:tr w14:paraId="637C4A84">
        <w:trPr>
          <w:jc w:val="center"/>
        </w:trPr>
        <w:tc>
          <w:tcPr>
            <w:tcW w:w="2900" w:type="dxa"/>
          </w:tcPr>
          <w:p w14:paraId="0234B47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regionCode_enc</w:t>
            </w:r>
          </w:p>
        </w:tc>
        <w:tc>
          <w:tcPr>
            <w:tcW w:w="1500" w:type="dxa"/>
          </w:tcPr>
          <w:p w14:paraId="10BBDB7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0.086</w:t>
            </w:r>
          </w:p>
        </w:tc>
        <w:tc>
          <w:tcPr>
            <w:tcW w:w="3905" w:type="dxa"/>
          </w:tcPr>
          <w:p w14:paraId="4BABB58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地区编码</w:t>
            </w:r>
          </w:p>
        </w:tc>
      </w:tr>
      <w:tr w14:paraId="6B2EEC1D">
        <w:trPr>
          <w:jc w:val="center"/>
        </w:trPr>
        <w:tc>
          <w:tcPr>
            <w:tcW w:w="2900" w:type="dxa"/>
          </w:tcPr>
          <w:p w14:paraId="08E76F9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n14</w:t>
            </w:r>
          </w:p>
        </w:tc>
        <w:tc>
          <w:tcPr>
            <w:tcW w:w="1500" w:type="dxa"/>
          </w:tcPr>
          <w:p w14:paraId="7536D2AC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0.083</w:t>
            </w:r>
          </w:p>
        </w:tc>
        <w:tc>
          <w:tcPr>
            <w:tcW w:w="3905" w:type="dxa"/>
          </w:tcPr>
          <w:p w14:paraId="34C7D1A6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匿名行为计数特征</w:t>
            </w:r>
          </w:p>
        </w:tc>
      </w:tr>
      <w:tr w14:paraId="3473F26D">
        <w:trPr>
          <w:jc w:val="center"/>
        </w:trPr>
        <w:tc>
          <w:tcPr>
            <w:tcW w:w="2900" w:type="dxa"/>
          </w:tcPr>
          <w:p w14:paraId="373781F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interestRate</w:t>
            </w:r>
          </w:p>
        </w:tc>
        <w:tc>
          <w:tcPr>
            <w:tcW w:w="1500" w:type="dxa"/>
          </w:tcPr>
          <w:p w14:paraId="39E09774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0.077</w:t>
            </w:r>
          </w:p>
        </w:tc>
        <w:tc>
          <w:tcPr>
            <w:tcW w:w="3905" w:type="dxa"/>
          </w:tcPr>
          <w:p w14:paraId="22D52E82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贷款利率</w:t>
            </w:r>
          </w:p>
        </w:tc>
      </w:tr>
      <w:tr w14:paraId="15C34304">
        <w:trPr>
          <w:jc w:val="center"/>
        </w:trPr>
        <w:tc>
          <w:tcPr>
            <w:tcW w:w="2900" w:type="dxa"/>
          </w:tcPr>
          <w:p w14:paraId="50BEE74B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dti</w:t>
            </w:r>
          </w:p>
        </w:tc>
        <w:tc>
          <w:tcPr>
            <w:tcW w:w="1500" w:type="dxa"/>
          </w:tcPr>
          <w:p w14:paraId="2797761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0.077</w:t>
            </w:r>
          </w:p>
        </w:tc>
        <w:tc>
          <w:tcPr>
            <w:tcW w:w="3905" w:type="dxa"/>
          </w:tcPr>
          <w:p w14:paraId="155C1883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债务收入比</w:t>
            </w:r>
          </w:p>
        </w:tc>
      </w:tr>
      <w:tr w14:paraId="57EA3360">
        <w:trPr>
          <w:jc w:val="center"/>
        </w:trPr>
        <w:tc>
          <w:tcPr>
            <w:tcW w:w="2900" w:type="dxa"/>
          </w:tcPr>
          <w:p w14:paraId="10AECC7E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installment_income_ratio</w:t>
            </w:r>
          </w:p>
        </w:tc>
        <w:tc>
          <w:tcPr>
            <w:tcW w:w="1500" w:type="dxa"/>
          </w:tcPr>
          <w:p w14:paraId="07431511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0.076</w:t>
            </w:r>
          </w:p>
        </w:tc>
        <w:tc>
          <w:tcPr>
            <w:tcW w:w="3905" w:type="dxa"/>
          </w:tcPr>
          <w:p w14:paraId="17B8C1A0">
            <w:pPr>
              <w:spacing w:before="20" w:after="20" w:line="240" w:lineRule="auto"/>
              <w:jc w:val="left"/>
              <w:rPr>
                <w:rFonts w:ascii="verdana" w:hAnsi="verdana" w:eastAsia="宋体"/>
                <w:b w:val="0"/>
                <w:bCs/>
                <w:sz w:val="16"/>
              </w:rPr>
            </w:pPr>
            <w:r>
              <w:rPr>
                <w:rFonts w:ascii="verdana" w:hAnsi="verdana" w:eastAsia="宋体"/>
                <w:b w:val="0"/>
                <w:bCs/>
                <w:sz w:val="16"/>
              </w:rPr>
              <w:t>月供收入比（W2 新建）</w:t>
            </w:r>
          </w:p>
        </w:tc>
      </w:tr>
    </w:tbl>
    <w:p w14:paraId="1D5877A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3D6C5D9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/>
          <w:b w:val="0"/>
          <w:bCs/>
          <w:sz w:val="16"/>
        </w:rPr>
        <w:drawing>
          <wp:inline distT="0" distB="0" distL="114300" distR="114300">
            <wp:extent cx="4855210" cy="58261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5210" cy="582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B0A1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图 5｜SHAP 全局归因（取前 20 个特征）。每个点是一位客户，横轴是 SHAP 值（向右=把判断推向违约），颜色代表该特征取值高低（红=高，蓝=低）。</w:t>
      </w:r>
    </w:p>
    <w:p w14:paraId="0A62815E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解读：</w:t>
      </w:r>
    </w:p>
    <w:p w14:paraId="21A056D0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头两名（子等级 + 期限）合计约贡献 0.5，贷款条件本身主导模型判断，与 W1 的 EDA（grade 违约率单调）、W2 的特征重要性三处互相印证。</w:t>
      </w:r>
    </w:p>
    <w:p w14:paraId="373ACBC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FICO、dti、月供收入比等“还款能力”特征紧随其后，符合风控直觉：先看贷款条件，再看还款能力。</w:t>
      </w:r>
    </w:p>
    <w:p w14:paraId="714272C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W2 新建的 fico_avg、installment_income_ratio 进入前 10，说明特征工程有效；两个交互项贡献较小（grade_dti_inter 0.024、interest_loan_inter 0.007），保留但不必强调。</w:t>
      </w:r>
    </w:p>
    <w:p w14:paraId="2C7395F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匿名特征 n14、n3 有信号但无法业务解读，只能黑箱使用——这是数据本身的局限，已在局限一节说明。</w:t>
      </w:r>
    </w:p>
    <w:p w14:paraId="6A84E9F4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288C37CA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7. 业务结论</w:t>
      </w:r>
    </w:p>
    <w:p w14:paraId="3E817317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模型可用于“排序初筛”：AUC 0.73 的含义是，随机抽一对（一个真违约、一个真正常），模型有 73% 的概率把违约者排在更靠前的位置。适合给风控名单排序、辅助人工审核；不适合全自动放款。</w:t>
      </w:r>
    </w:p>
    <w:p w14:paraId="0E1346B9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结果稳健：七个模型 AUC 全部落在 0.72–0.73，说明结论不依赖某一个模型的选择，经得起交叉验证。</w:t>
      </w:r>
    </w:p>
    <w:p w14:paraId="338F30BF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看人先看贷款条件：子等级、期限、等级、利率是模型最看重的信息，风控规则的第一道防线可以围绕这些字段设置。</w:t>
      </w:r>
    </w:p>
    <w:p w14:paraId="58DCD1AC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阈值是业务决策而非技术参数：本报告所有数字都是阈值 0.5 的结果；实际放款策略需要在“少误伤好人”和“多抓坏人”之间做取舍，阶段 6 提供不同阈值下的对照供决策。</w:t>
      </w:r>
    </w:p>
    <w:p w14:paraId="7BF61B2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</w:p>
    <w:p w14:paraId="06113CF6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8. 局限与下一步</w:t>
      </w:r>
    </w:p>
    <w:p w14:paraId="5C0BEE05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局限一：方法对比实验在子样本上进行。两个模型 × 三种方法的等预算对照用 20 万行子样本、3 折完成（控制时间成本），结论（小空间里三种方法上限一致；大空间里贝叶斯上限略高、试错效率更优）在全量 5 折条件下可能有细微差异；正式模型仍以全量随机搜索的调参结果为准。</w:t>
      </w:r>
    </w:p>
    <w:p w14:paraId="017ADF1B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局限二：集成提升有限。队员之间同质性高（三个树模型），互补性不足；换用差异更大的模型族才可能拉开差距。</w:t>
      </w:r>
    </w:p>
    <w:p w14:paraId="22310C9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局限三：匿名特征 n0–n14 不可解释，只能作为黑箱特征使用，无法向业务解释其含义。</w:t>
      </w:r>
    </w:p>
    <w:p w14:paraId="27BD3A21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局限四：SHAP 只做了全局归因（整体上模型看重什么），未逐单客户展开；单客户级解释在交付上易读性差、维护成本高，本次不纳入交付。</w:t>
      </w:r>
    </w:p>
    <w:p w14:paraId="0597689D">
      <w:pPr>
        <w:spacing w:line="240" w:lineRule="auto"/>
        <w:jc w:val="left"/>
        <w:rPr>
          <w:rFonts w:ascii="verdana" w:hAnsi="verdana" w:eastAsia="宋体"/>
          <w:b w:val="0"/>
          <w:bCs/>
          <w:sz w:val="16"/>
        </w:rPr>
      </w:pPr>
      <w:r>
        <w:rPr>
          <w:rFonts w:ascii="verdana" w:hAnsi="verdana" w:eastAsia="宋体"/>
          <w:b w:val="0"/>
          <w:bCs/>
          <w:sz w:val="16"/>
        </w:rPr>
        <w:t>· 下一步（W4 / 阶段 6）：用从未碰过的 10% 测试集做最终评估与泛化能力分析；结合业务目标选择风险阈值；撰写 10–15 页最终项目报告；构建交互式业务仪表板与演示 PPT。</w:t>
      </w:r>
    </w:p>
    <w:sectPr>
      <w:pgSz w:w="11905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verdana">
    <w:panose1 w:val="020B0804030504040204"/>
    <w:charset w:val="00"/>
    <w:family w:val="auto"/>
    <w:pitch w:val="default"/>
    <w:sig w:usb0="A10006FF" w:usb1="4000205B" w:usb2="00000010" w:usb3="00000000" w:csb0="200001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4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5D4736"/>
    <w:rsid w:val="74FFD842"/>
    <w:rsid w:val="77F1A5A1"/>
    <w:rsid w:val="D3D7D486"/>
    <w:rsid w:val="EFFE7C32"/>
    <w:rsid w:val="FF7BD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2013-12-25T07:15:00Z</dcterms:created>
  <dc:creator>python-docx</dc:creator>
  <dc:description>generated by python-docx</dc:description>
  <cp:lastModifiedBy>qzuser</cp:lastModifiedBy>
  <dcterms:modified xsi:type="dcterms:W3CDTF">2026-09-21T21:26:55Z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0C802699B4BDD4E8E1B8A76AAF92BFB9_43</vt:lpwstr>
  </property>
</Properties>
</file>