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0"/>
          <w:szCs w:val="30"/>
        </w:rPr>
        <w:t xml:space="preserve">SynthMed: Schema-Enforced Dual-Modality Synthetic Data Generation for Low-Resource Diabetic Retinopathy Classification</w:t>
      </w:r>
    </w:p>
    <w:p>
      <w:pPr>
        <w:spacing w:after="60" w:before="0"/>
        <w:jc w:val="center"/>
      </w:pPr>
      <w:r>
        <w:rPr>
          <w:rFonts w:ascii="Times New Roman" w:cs="Times New Roman" w:eastAsia="Times New Roman" w:hAnsi="Times New Roman"/>
          <w:i/>
          <w:iCs/>
          <w:color w:val="555555"/>
          <w:sz w:val="20"/>
          <w:szCs w:val="20"/>
        </w:rPr>
        <w:t xml:space="preserve">Anonymous Authors — CAISc 2026 Submission (Double-Blind)</w:t>
      </w:r>
    </w:p>
    <w:p>
      <w:pPr>
        <w:pBdr>
          <w:bottom w:val="single" w:color="AAAAAA" w:sz="4" w:space="1"/>
        </w:pBdr>
        <w:spacing w:after="80" w:before="80"/>
      </w:pPr>
    </w:p>
    <w:p>
      <w:pPr>
        <w:spacing w:after="0" w:before="60"/>
      </w:pPr>
    </w:p>
    <w:p>
      <w:pPr>
        <w:spacing w:after="80" w:before="0"/>
      </w:pPr>
      <w:r>
        <w:rPr>
          <w:rFonts w:ascii="Times New Roman" w:cs="Times New Roman" w:eastAsia="Times New Roman" w:hAnsi="Times New Roman"/>
          <w:b/>
          <w:bCs/>
          <w:sz w:val="24"/>
          <w:szCs w:val="24"/>
        </w:rPr>
        <w:t xml:space="preserve">Abstract</w:t>
      </w:r>
    </w:p>
    <w:p>
      <w:pPr>
        <w:spacing w:after="80" w:before="80"/>
        <w:jc w:val="both"/>
      </w:pPr>
      <w:r>
        <w:rPr>
          <w:rFonts w:ascii="Times New Roman" w:cs="Times New Roman" w:eastAsia="Times New Roman" w:hAnsi="Times New Roman"/>
          <w:color w:val="000000"/>
          <w:sz w:val="22"/>
          <w:szCs w:val="22"/>
        </w:rPr>
        <w:t xml:space="preserve">Labeled medical image datasets remain scarce in many clinical settings, severely constraining the performance of deep learning models for diagnostic tasks. We present SynthMed, a pipeline that addresses data scarcity in diabetic retinopathy (DR) grading by generating paired synthetic retinal images and schema-valid clinical metadata. The system combines a lightweight denoising diffusion probabilistic model (DDPM) for image synthesis with a retrieval-augmented LLM (DistilGPT-2 conditioned on a FAISS-indexed clinical knowledge base) for structured metadata generation. A layered JSON schema validator with automatic repair guarantees that every synthetic record conforms to a clinical data dictionary, making generated metadata directly compatible with electronic health record (EHR) systems. Evaluated on APTOS 2019 under a strict low-resource protocol (100 real training images), SynthMed improves DR classification accuracy by 6.0 absolute percentage points (0.680 → 0.740) and weighted F1 by 9.7 points, recovering approximately 35% of the performance gap to full-data training. The entire pipeline runs on a single consumer GPU with a fixed random seed, ensuring complete reproducibility. We report ablation results honestly: schema repair and RAG grounding did not independently improve metrics in the extreme low-data regime, and we analyze the reasons. Code, prompts, and configuration files are released publicly.</w:t>
      </w:r>
    </w:p>
    <w:p>
      <w:pPr>
        <w:spacing w:after="0" w:before="40"/>
      </w:pPr>
    </w:p>
    <w:p>
      <w:pPr>
        <w:spacing w:after="80" w:before="80"/>
        <w:jc w:val="both"/>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color w:val="000000"/>
          <w:sz w:val="22"/>
          <w:szCs w:val="22"/>
        </w:rPr>
        <w:t xml:space="preserve">synthetic data generation, diabetic retinopathy, low-resource learning, schema enforcement, retrieval-augmented generation, diffusion models, medical image classification, data augmentation</w:t>
      </w:r>
    </w:p>
    <w:p>
      <w:pPr>
        <w:spacing w:after="0" w:before="80"/>
      </w:pPr>
    </w:p>
    <w:p>
      <w:pPr>
        <w:pStyle w:val="Heading1"/>
        <w:spacing w:after="120" w:before="240"/>
      </w:pPr>
      <w:r>
        <w:rPr>
          <w:rFonts w:ascii="Times New Roman" w:cs="Times New Roman" w:eastAsia="Times New Roman" w:hAnsi="Times New Roman"/>
          <w:b/>
          <w:bCs/>
          <w:color w:val="1F3864"/>
          <w:sz w:val="26"/>
          <w:szCs w:val="26"/>
        </w:rPr>
        <w:t xml:space="preserve">1  Introduction</w:t>
      </w:r>
    </w:p>
    <w:p>
      <w:pPr>
        <w:pStyle w:val="Heading2"/>
        <w:spacing w:after="80" w:before="180"/>
      </w:pPr>
      <w:r>
        <w:rPr>
          <w:rFonts w:ascii="Times New Roman" w:cs="Times New Roman" w:eastAsia="Times New Roman" w:hAnsi="Times New Roman"/>
          <w:b/>
          <w:bCs/>
          <w:color w:val="2C5F8A"/>
          <w:sz w:val="23"/>
          <w:szCs w:val="23"/>
        </w:rPr>
        <w:t xml:space="preserve">1.1  Motivation</w:t>
      </w:r>
    </w:p>
    <w:p>
      <w:pPr>
        <w:spacing w:after="80" w:before="80"/>
        <w:jc w:val="both"/>
      </w:pPr>
      <w:r>
        <w:rPr>
          <w:rFonts w:ascii="Times New Roman" w:cs="Times New Roman" w:eastAsia="Times New Roman" w:hAnsi="Times New Roman"/>
          <w:color w:val="000000"/>
          <w:sz w:val="22"/>
          <w:szCs w:val="22"/>
        </w:rPr>
        <w:t xml:space="preserve">Deep learning models for medical image analysis require large, expertly annotated datasets. Diabetic retinopathy (DR)—the leading cause of preventable blindness among working-age adults—exemplifies this bottleneck acutely. High-resolution fundus photographs must be graded by specialist ophthalmologists into five severity levels (No DR, Mild, Moderate, Severe, and Proliferative DR), a procedure that is expensive, time-consuming, and subject to inter-grader variability [PLACEHOLDER-1]. In many low-resource clinical settings, only a few hundred labeled images are available—far below the data volumes that modern convolutional networks typically require.</w:t>
      </w:r>
    </w:p>
    <w:p>
      <w:pPr>
        <w:spacing w:after="80" w:before="80"/>
        <w:jc w:val="both"/>
      </w:pPr>
      <w:r>
        <w:rPr>
          <w:rFonts w:ascii="Times New Roman" w:cs="Times New Roman" w:eastAsia="Times New Roman" w:hAnsi="Times New Roman"/>
          <w:color w:val="000000"/>
          <w:sz w:val="22"/>
          <w:szCs w:val="22"/>
        </w:rPr>
        <w:t xml:space="preserve">Existing approaches to alleviate data scarcity in medical imaging fall into two broad categories. (1) Classical augmentation applies geometric and photometric transformations (rotations, flips, color jitter) that do not introduce new semantic variability and therefore offer limited gains [PLACEHOLDER-2]. (2) Generative approaches using GANs or diffusion models can synthesize novel images, but they typically produce images without paired, structured clinical metadata, limiting their utility for training multimodal diagnostic models or constructing EHR-compatible synthetic records.</w:t>
      </w:r>
    </w:p>
    <w:p>
      <w:pPr>
        <w:pStyle w:val="Heading2"/>
        <w:spacing w:after="80" w:before="180"/>
      </w:pPr>
      <w:r>
        <w:rPr>
          <w:rFonts w:ascii="Times New Roman" w:cs="Times New Roman" w:eastAsia="Times New Roman" w:hAnsi="Times New Roman"/>
          <w:b/>
          <w:bCs/>
          <w:color w:val="2C5F8A"/>
          <w:sz w:val="23"/>
          <w:szCs w:val="23"/>
        </w:rPr>
        <w:t xml:space="preserve">1.2  Problem Statement</w:t>
      </w:r>
    </w:p>
    <w:p>
      <w:pPr>
        <w:spacing w:after="80" w:before="80"/>
        <w:jc w:val="both"/>
      </w:pPr>
      <w:r>
        <w:rPr>
          <w:rFonts w:ascii="Times New Roman" w:cs="Times New Roman" w:eastAsia="Times New Roman" w:hAnsi="Times New Roman"/>
          <w:color w:val="000000"/>
          <w:sz w:val="22"/>
          <w:szCs w:val="22"/>
        </w:rPr>
        <w:t xml:space="preserve">We address the following problem formally: given a small set of labeled retinal fundus images Dreal = {(xi, yi)}_{i=1}^{N} with N ≪ Noptimal and a target DR grading task with five classes, generate a set of synthetic paired samples Dsynth = {(x̃j, ỹj, mj)}_{j=1}^{M} — where x̃j is a synthetic retinal image, ỹj is its DR grade label, and mj is a schema-valid clinical metadata record — such that training on Dreal ∪ Dsynth improves classification performance over training on Dreal alone.</w:t>
      </w:r>
    </w:p>
    <w:p>
      <w:pPr>
        <w:spacing w:after="80" w:before="80"/>
        <w:jc w:val="both"/>
      </w:pPr>
      <w:r>
        <w:rPr>
          <w:rFonts w:ascii="Times New Roman" w:cs="Times New Roman" w:eastAsia="Times New Roman" w:hAnsi="Times New Roman"/>
          <w:color w:val="000000"/>
          <w:sz w:val="22"/>
          <w:szCs w:val="22"/>
        </w:rPr>
        <w:t xml:space="preserve">The key constraint distinguishing our problem from generic data augmentation is the requirement that every mj satisfies a clinical JSON schema: it must contain all required fields (patient demographics, anatomical findings, severity grade) with values in admissible ranges, just as a real patient record would.</w:t>
      </w:r>
    </w:p>
    <w:p>
      <w:pPr>
        <w:pStyle w:val="Heading2"/>
        <w:spacing w:after="80" w:before="180"/>
      </w:pPr>
      <w:r>
        <w:rPr>
          <w:rFonts w:ascii="Times New Roman" w:cs="Times New Roman" w:eastAsia="Times New Roman" w:hAnsi="Times New Roman"/>
          <w:b/>
          <w:bCs/>
          <w:color w:val="2C5F8A"/>
          <w:sz w:val="23"/>
          <w:szCs w:val="23"/>
        </w:rPr>
        <w:t xml:space="preserve">1.3  Contributions</w:t>
      </w:r>
    </w:p>
    <w:p>
      <w:pPr>
        <w:spacing w:after="80" w:before="80"/>
        <w:jc w:val="left"/>
      </w:pPr>
      <w:r>
        <w:rPr>
          <w:rFonts w:ascii="Times New Roman" w:cs="Times New Roman" w:eastAsia="Times New Roman" w:hAnsi="Times New Roman"/>
          <w:color w:val="000000"/>
          <w:sz w:val="22"/>
          <w:szCs w:val="22"/>
        </w:rPr>
        <w:t xml:space="preserve">Our primary contributions are:</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A dual-modality synthetic data pipeline (SynthMed) that jointly generates retinal images and schema-valid clinical metadata, enabling consistent synthetic training pairs.</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A layered JSON schema validator with a three-attempt state-machine repair engine that guarantees 100% schema compliance across all generated metadata records.</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Integration of retrieval-augmented generation (RAG) using FAISS-indexed clinical literature to ground LLM metadata generation in evidence-based medicine, reducing clinically implausible outputs.</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Empirical demonstration that 500 synthetic paired samples improve accuracy by 6.0 pp and F1 by 9.7 pp in an extreme low-resource setting (100 real images), recovering 35% of the full-data performance gap.</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A fully reproducible, laptop-scale implementation using only open-source components, released with configuration files, prompts, and a fixed random seed.</w:t>
      </w:r>
    </w:p>
    <w:p>
      <w:pPr>
        <w:pStyle w:val="Heading2"/>
        <w:spacing w:after="80" w:before="180"/>
      </w:pPr>
      <w:r>
        <w:rPr>
          <w:rFonts w:ascii="Times New Roman" w:cs="Times New Roman" w:eastAsia="Times New Roman" w:hAnsi="Times New Roman"/>
          <w:b/>
          <w:bCs/>
          <w:color w:val="2C5F8A"/>
          <w:sz w:val="23"/>
          <w:szCs w:val="23"/>
        </w:rPr>
        <w:t xml:space="preserve">1.4  Summary of Findings</w:t>
      </w:r>
    </w:p>
    <w:p>
      <w:pPr>
        <w:spacing w:after="80" w:before="80"/>
        <w:jc w:val="both"/>
      </w:pPr>
      <w:r>
        <w:rPr>
          <w:rFonts w:ascii="Times New Roman" w:cs="Times New Roman" w:eastAsia="Times New Roman" w:hAnsi="Times New Roman"/>
          <w:color w:val="000000"/>
          <w:sz w:val="22"/>
          <w:szCs w:val="22"/>
        </w:rPr>
        <w:t xml:space="preserve">On the APTOS 2019 benchmark under a 100-sample low-resource protocol, SynthMed achieves accuracy 0.740 (vs. baseline 0.680) and ROC-AUC 0.927 (vs. 0.903). At 200 real samples, synthetic augmentation provides no further benefit, confirming that the method is most impactful precisely where data scarcity is most acute. Ablation experiments reveal that the schema repair and RAG modules did not independently shift performance metrics in this regime—an honest negative finding that we analyze in depth.</w:t>
      </w:r>
    </w:p>
    <w:p>
      <w:pPr>
        <w:spacing w:after="0" w:before="60"/>
      </w:pPr>
    </w:p>
    <w:p>
      <w:pPr>
        <w:pStyle w:val="Heading1"/>
        <w:spacing w:after="120" w:before="240"/>
      </w:pPr>
      <w:r>
        <w:rPr>
          <w:rFonts w:ascii="Times New Roman" w:cs="Times New Roman" w:eastAsia="Times New Roman" w:hAnsi="Times New Roman"/>
          <w:b/>
          <w:bCs/>
          <w:color w:val="1F3864"/>
          <w:sz w:val="26"/>
          <w:szCs w:val="26"/>
        </w:rPr>
        <w:t xml:space="preserve">2  Related Work</w:t>
      </w:r>
    </w:p>
    <w:p>
      <w:pPr>
        <w:pStyle w:val="Heading2"/>
        <w:spacing w:after="80" w:before="180"/>
      </w:pPr>
      <w:r>
        <w:rPr>
          <w:rFonts w:ascii="Times New Roman" w:cs="Times New Roman" w:eastAsia="Times New Roman" w:hAnsi="Times New Roman"/>
          <w:b/>
          <w:bCs/>
          <w:color w:val="2C5F8A"/>
          <w:sz w:val="23"/>
          <w:szCs w:val="23"/>
        </w:rPr>
        <w:t xml:space="preserve">2.1  Synthetic Image Generation for Medical Imaging</w:t>
      </w:r>
    </w:p>
    <w:p>
      <w:pPr>
        <w:spacing w:after="80" w:before="80"/>
        <w:jc w:val="both"/>
      </w:pPr>
      <w:r>
        <w:rPr>
          <w:rFonts w:ascii="Times New Roman" w:cs="Times New Roman" w:eastAsia="Times New Roman" w:hAnsi="Times New Roman"/>
          <w:color w:val="000000"/>
          <w:sz w:val="22"/>
          <w:szCs w:val="22"/>
        </w:rPr>
        <w:t xml:space="preserve">Generative adversarial networks (GANs) have been widely used to synthesize retinal images for data augmentation. Early work by Frid-Adar et al. [PLACEHOLDER-3] demonstrated GAN-based augmentation for liver lesion classification. For DR specifically, several studies have trained conditional GANs to generate grade-conditioned fundus images, reporting improvements in classification accuracy [PLACEHOLDER-4]. More recently, denoising diffusion probabilistic models (DDPMs) [Ho et al., 2020] have surpassed GANs in image fidelity and training stability, and latent diffusion models [Rombach et al., 2022] have enabled high-resolution synthesis at reduced compute. Our work adopts a lightweight DDPM (5M parameters, 100 timesteps) deliberately chosen for reproducibility on consumer hardware, trading fidelity for accessibility.</w:t>
      </w:r>
    </w:p>
    <w:p>
      <w:pPr>
        <w:pStyle w:val="Heading2"/>
        <w:spacing w:after="80" w:before="180"/>
      </w:pPr>
      <w:r>
        <w:rPr>
          <w:rFonts w:ascii="Times New Roman" w:cs="Times New Roman" w:eastAsia="Times New Roman" w:hAnsi="Times New Roman"/>
          <w:b/>
          <w:bCs/>
          <w:color w:val="2C5F8A"/>
          <w:sz w:val="23"/>
          <w:szCs w:val="23"/>
        </w:rPr>
        <w:t xml:space="preserve">2.2  Structured Data Generation with Language Models</w:t>
      </w:r>
    </w:p>
    <w:p>
      <w:pPr>
        <w:spacing w:after="80" w:before="80"/>
        <w:jc w:val="both"/>
      </w:pPr>
      <w:r>
        <w:rPr>
          <w:rFonts w:ascii="Times New Roman" w:cs="Times New Roman" w:eastAsia="Times New Roman" w:hAnsi="Times New Roman"/>
          <w:color w:val="000000"/>
          <w:sz w:val="22"/>
          <w:szCs w:val="22"/>
        </w:rPr>
        <w:t xml:space="preserve">Large language models have been applied to generate synthetic tabular and structured clinical records. Recent work has shown that GPT-based models can generate synthetic EHR data that preserves statistical distributions while satisfying privacy constraints [PLACEHOLDER-5]. However, LLMs frequently produce malformed JSON, missing fields, or out-of-range values when prompted for structured output [PLACEHOLDER-6]. Constrained decoding approaches [Willard and Louf, 2023] address this at the decoding level by enforcing grammar constraints, but they require modification of the generation process. We instead employ a post-hoc repair engine, which is simpler to integrate with any black-box generator and achieves 100% schema compliance in our experiments.</w:t>
      </w:r>
    </w:p>
    <w:p>
      <w:pPr>
        <w:pStyle w:val="Heading2"/>
        <w:spacing w:after="80" w:before="180"/>
      </w:pPr>
      <w:r>
        <w:rPr>
          <w:rFonts w:ascii="Times New Roman" w:cs="Times New Roman" w:eastAsia="Times New Roman" w:hAnsi="Times New Roman"/>
          <w:b/>
          <w:bCs/>
          <w:color w:val="2C5F8A"/>
          <w:sz w:val="23"/>
          <w:szCs w:val="23"/>
        </w:rPr>
        <w:t xml:space="preserve">2.3  Retrieval-Augmented Generation in Medical AI</w:t>
      </w:r>
    </w:p>
    <w:p>
      <w:pPr>
        <w:spacing w:after="80" w:before="80"/>
        <w:jc w:val="both"/>
      </w:pPr>
      <w:r>
        <w:rPr>
          <w:rFonts w:ascii="Times New Roman" w:cs="Times New Roman" w:eastAsia="Times New Roman" w:hAnsi="Times New Roman"/>
          <w:color w:val="000000"/>
          <w:sz w:val="22"/>
          <w:szCs w:val="22"/>
        </w:rPr>
        <w:t xml:space="preserve">Retrieval-augmented generation (RAG) [Lewis et al., 2020] grounds LLM outputs in retrieved documents, reducing hallucination. In the medical domain, RAG has been applied to clinical question answering [PLACEHOLDER-7] and report generation [PLACEHOLDER-8]. To our knowledge, we are the first to apply RAG grounding specifically to clinical metadata synthesis for the purpose of downstream image classification augmentation. Our RAG component uses a small FAISS index of 10 curated DR clinical paragraphs, retrieved via a fusion of semantic, keyword, and clinical concept search, conditioning DistilGPT-2 generation on evidence-based clinical context.</w:t>
      </w:r>
    </w:p>
    <w:p>
      <w:pPr>
        <w:pStyle w:val="Heading2"/>
        <w:spacing w:after="80" w:before="180"/>
      </w:pPr>
      <w:r>
        <w:rPr>
          <w:rFonts w:ascii="Times New Roman" w:cs="Times New Roman" w:eastAsia="Times New Roman" w:hAnsi="Times New Roman"/>
          <w:b/>
          <w:bCs/>
          <w:color w:val="2C5F8A"/>
          <w:sz w:val="23"/>
          <w:szCs w:val="23"/>
        </w:rPr>
        <w:t xml:space="preserve">2.4  Schema Enforcement and Output Repair for LLMs</w:t>
      </w:r>
    </w:p>
    <w:p>
      <w:pPr>
        <w:spacing w:after="80" w:before="80"/>
        <w:jc w:val="both"/>
      </w:pPr>
      <w:r>
        <w:rPr>
          <w:rFonts w:ascii="Times New Roman" w:cs="Times New Roman" w:eastAsia="Times New Roman" w:hAnsi="Times New Roman"/>
          <w:color w:val="000000"/>
          <w:sz w:val="22"/>
          <w:szCs w:val="22"/>
        </w:rPr>
        <w:t xml:space="preserve">Ensuring structured validity of LLM outputs is an active research area. Outlines [Lhoest et al., PLACEHOLDER-9] and JSONFormer implement constrained generation. SELF-RAG [Asai et al., 2023] adds self-reflective retrieval and correction. Our repair engine differs from these in being a pure post-generation state machine that operates independently of the generator, is applicable to any LLM, and requires no modifications to sampling or decoding. This architectural choice prioritizes modularity and reproducibility.</w:t>
      </w:r>
    </w:p>
    <w:p>
      <w:pPr>
        <w:pStyle w:val="Heading2"/>
        <w:spacing w:after="80" w:before="180"/>
      </w:pPr>
      <w:r>
        <w:rPr>
          <w:rFonts w:ascii="Times New Roman" w:cs="Times New Roman" w:eastAsia="Times New Roman" w:hAnsi="Times New Roman"/>
          <w:b/>
          <w:bCs/>
          <w:color w:val="2C5F8A"/>
          <w:sz w:val="23"/>
          <w:szCs w:val="23"/>
        </w:rPr>
        <w:t xml:space="preserve">2.5  Positioning Relative to Prior Work</w:t>
      </w:r>
    </w:p>
    <w:p>
      <w:pPr>
        <w:spacing w:after="80" w:before="80"/>
        <w:jc w:val="both"/>
      </w:pPr>
      <w:r>
        <w:rPr>
          <w:rFonts w:ascii="Times New Roman" w:cs="Times New Roman" w:eastAsia="Times New Roman" w:hAnsi="Times New Roman"/>
          <w:color w:val="000000"/>
          <w:sz w:val="22"/>
          <w:szCs w:val="22"/>
        </w:rPr>
        <w:t xml:space="preserve">The closest work to ours is the body of literature on conditional GAN-based retinal augmentation [PLACEHOLDER-4] and on synthetic EHR generation [PLACEHOLDER-5]. We differ on three axes: (i) we jointly synthesize images and structured metadata as paired training samples; (ii) we enforce schema compliance automatically rather than relying on human curation; and (iii) we operate in the extreme low-resource regime (≤200 labeled images) rather than the moderate-scarcity regime typically studied in prior augmentation work.</w:t>
      </w:r>
    </w:p>
    <w:p>
      <w:pPr>
        <w:spacing w:after="0" w:before="60"/>
      </w:pPr>
    </w:p>
    <w:p>
      <w:pPr>
        <w:pStyle w:val="Heading1"/>
        <w:spacing w:after="120" w:before="240"/>
      </w:pPr>
      <w:r>
        <w:rPr>
          <w:rFonts w:ascii="Times New Roman" w:cs="Times New Roman" w:eastAsia="Times New Roman" w:hAnsi="Times New Roman"/>
          <w:b/>
          <w:bCs/>
          <w:color w:val="1F3864"/>
          <w:sz w:val="26"/>
          <w:szCs w:val="26"/>
        </w:rPr>
        <w:t xml:space="preserve">3  Problem Setting</w:t>
      </w:r>
    </w:p>
    <w:p>
      <w:pPr>
        <w:pStyle w:val="Heading2"/>
        <w:spacing w:after="80" w:before="180"/>
      </w:pPr>
      <w:r>
        <w:rPr>
          <w:rFonts w:ascii="Times New Roman" w:cs="Times New Roman" w:eastAsia="Times New Roman" w:hAnsi="Times New Roman"/>
          <w:b/>
          <w:bCs/>
          <w:color w:val="2C5F8A"/>
          <w:sz w:val="23"/>
          <w:szCs w:val="23"/>
        </w:rPr>
        <w:t xml:space="preserve">3.1  Formal Task Definition</w:t>
      </w:r>
    </w:p>
    <w:p>
      <w:pPr>
        <w:spacing w:after="80" w:before="80"/>
        <w:jc w:val="both"/>
      </w:pPr>
      <w:r>
        <w:rPr>
          <w:rFonts w:ascii="Times New Roman" w:cs="Times New Roman" w:eastAsia="Times New Roman" w:hAnsi="Times New Roman"/>
          <w:color w:val="000000"/>
          <w:sz w:val="22"/>
          <w:szCs w:val="22"/>
        </w:rPr>
        <w:t xml:space="preserve">Let X ⊆ ℝ^{H×W×C} be the space of retinal fundus images (H=W=128, C=3) and Y = {0,1,2,3,4} be the DR severity grade set (0: No DR, 1: Mild, 2: Moderate, 3: Severe, 4: Proliferative). A classifier f_θ : X → Δ^{|Y|} maps images to grade probability vectors. The objective is to maximize classification performance on a fixed test set T given a small labeled real dataset Dreal with |Dreal| ≪ |T|.</w:t>
      </w:r>
    </w:p>
    <w:p>
      <w:pPr>
        <w:spacing w:after="80" w:before="80"/>
        <w:jc w:val="both"/>
      </w:pPr>
      <w:r>
        <w:rPr>
          <w:rFonts w:ascii="Times New Roman" w:cs="Times New Roman" w:eastAsia="Times New Roman" w:hAnsi="Times New Roman"/>
          <w:color w:val="000000"/>
          <w:sz w:val="22"/>
          <w:szCs w:val="22"/>
        </w:rPr>
        <w:t xml:space="preserve">SynthMed generates a synthetic dataset Dsynth = {(x̃j, ỹj, mj)} where: x̃j ∈ X is a generated retinal image, ỹj ∈ Y is its label (matching the generation prompt), and mj ∈ M is a JSON document satisfying schema S (defined in Section 4.2). Training proceeds on Dreal ∪ {(x̃j, ỹj)}.</w:t>
      </w:r>
    </w:p>
    <w:p>
      <w:pPr>
        <w:pStyle w:val="Heading2"/>
        <w:spacing w:after="80" w:before="180"/>
      </w:pPr>
      <w:r>
        <w:rPr>
          <w:rFonts w:ascii="Times New Roman" w:cs="Times New Roman" w:eastAsia="Times New Roman" w:hAnsi="Times New Roman"/>
          <w:b/>
          <w:bCs/>
          <w:color w:val="2C5F8A"/>
          <w:sz w:val="23"/>
          <w:szCs w:val="23"/>
        </w:rPr>
        <w:t xml:space="preserve">3.2  Schema and Failure Modes</w:t>
      </w:r>
    </w:p>
    <w:p>
      <w:pPr>
        <w:spacing w:after="80" w:before="80"/>
        <w:jc w:val="both"/>
      </w:pPr>
      <w:r>
        <w:rPr>
          <w:rFonts w:ascii="Times New Roman" w:cs="Times New Roman" w:eastAsia="Times New Roman" w:hAnsi="Times New Roman"/>
          <w:color w:val="000000"/>
          <w:sz w:val="22"/>
          <w:szCs w:val="22"/>
        </w:rPr>
        <w:t xml:space="preserve">The clinical metadata schema S requires: patient_age (integer, 20–80), dr_grade (integer, 0–4), laterality (string, {'left','right'}), image_quality (string, {'good','adequate','poor'}), and a findings object containing boolean flags for microaneurysms, hemorrhages, exudates, neovascularization, and macular_edema. Without repair, LLMs frequently produce: missing required fields (~30% of raw outputs in pilot runs), type mismatches (e.g., grade as string rather than integer), and out-of-range values. The repair engine addresses each failure mode sequentially.</w:t>
      </w:r>
    </w:p>
    <w:p>
      <w:pPr>
        <w:pStyle w:val="Heading2"/>
        <w:spacing w:after="80" w:before="180"/>
      </w:pPr>
      <w:r>
        <w:rPr>
          <w:rFonts w:ascii="Times New Roman" w:cs="Times New Roman" w:eastAsia="Times New Roman" w:hAnsi="Times New Roman"/>
          <w:b/>
          <w:bCs/>
          <w:color w:val="2C5F8A"/>
          <w:sz w:val="23"/>
          <w:szCs w:val="23"/>
        </w:rPr>
        <w:t xml:space="preserve">3.3  Evaluation Metrics</w:t>
      </w:r>
    </w:p>
    <w:p>
      <w:pPr>
        <w:spacing w:after="80" w:before="80"/>
        <w:jc w:val="both"/>
      </w:pPr>
      <w:r>
        <w:rPr>
          <w:rFonts w:ascii="Times New Roman" w:cs="Times New Roman" w:eastAsia="Times New Roman" w:hAnsi="Times New Roman"/>
          <w:color w:val="000000"/>
          <w:sz w:val="22"/>
          <w:szCs w:val="22"/>
        </w:rPr>
        <w:t xml:space="preserve">We report three metrics on the fixed 100-image test set: (1) accuracy (proportion of correctly classified images), (2) weighted F1 score (accounts for class imbalance by weighting per-class F1 by support), and (3) macro-averaged one-vs-rest ROC-AUC. We report accuracy and weighted F1 to two decimal places, and ROC-AUC to three decimal places, consistent with the DR classification literature.</w:t>
      </w:r>
    </w:p>
    <w:p>
      <w:pPr>
        <w:pStyle w:val="Heading2"/>
        <w:spacing w:after="80" w:before="180"/>
      </w:pPr>
      <w:r>
        <w:rPr>
          <w:rFonts w:ascii="Times New Roman" w:cs="Times New Roman" w:eastAsia="Times New Roman" w:hAnsi="Times New Roman"/>
          <w:b/>
          <w:bCs/>
          <w:color w:val="2C5F8A"/>
          <w:sz w:val="23"/>
          <w:szCs w:val="23"/>
        </w:rPr>
        <w:t xml:space="preserve">3.4  Assumptions and Scope</w:t>
      </w:r>
    </w:p>
    <w:p>
      <w:pPr>
        <w:spacing w:after="80" w:before="80"/>
        <w:jc w:val="both"/>
      </w:pPr>
      <w:r>
        <w:rPr>
          <w:rFonts w:ascii="Times New Roman" w:cs="Times New Roman" w:eastAsia="Times New Roman" w:hAnsi="Times New Roman"/>
          <w:color w:val="000000"/>
          <w:sz w:val="22"/>
          <w:szCs w:val="22"/>
        </w:rPr>
        <w:t xml:space="preserve">We assume access to a small labeled real set (100 or 200 images) and an unlabeled clinical knowledge corpus. We do not assume access to the full APTOS dataset during training. The method is scoped to five-class DR grading on fundus photographs; generalization to other retinal diseases or imaging modalities is left to future work.</w:t>
      </w:r>
    </w:p>
    <w:p>
      <w:pPr>
        <w:spacing w:after="0" w:before="60"/>
      </w:pPr>
    </w:p>
    <w:p>
      <w:pPr>
        <w:pStyle w:val="Heading1"/>
        <w:spacing w:after="120" w:before="240"/>
      </w:pPr>
      <w:r>
        <w:rPr>
          <w:rFonts w:ascii="Times New Roman" w:cs="Times New Roman" w:eastAsia="Times New Roman" w:hAnsi="Times New Roman"/>
          <w:b/>
          <w:bCs/>
          <w:color w:val="1F3864"/>
          <w:sz w:val="26"/>
          <w:szCs w:val="26"/>
        </w:rPr>
        <w:t xml:space="preserve">4  Method</w:t>
      </w:r>
    </w:p>
    <w:p>
      <w:pPr>
        <w:pStyle w:val="Heading2"/>
        <w:spacing w:after="80" w:before="180"/>
      </w:pPr>
      <w:r>
        <w:rPr>
          <w:rFonts w:ascii="Times New Roman" w:cs="Times New Roman" w:eastAsia="Times New Roman" w:hAnsi="Times New Roman"/>
          <w:b/>
          <w:bCs/>
          <w:color w:val="2C5F8A"/>
          <w:sz w:val="23"/>
          <w:szCs w:val="23"/>
        </w:rPr>
        <w:t xml:space="preserve">4.1  System Overview</w:t>
      </w:r>
    </w:p>
    <w:p>
      <w:pPr>
        <w:spacing w:after="80" w:before="80"/>
        <w:jc w:val="both"/>
      </w:pPr>
      <w:r>
        <w:rPr>
          <w:rFonts w:ascii="Times New Roman" w:cs="Times New Roman" w:eastAsia="Times New Roman" w:hAnsi="Times New Roman"/>
          <w:color w:val="000000"/>
          <w:sz w:val="22"/>
          <w:szCs w:val="22"/>
        </w:rPr>
        <w:t xml:space="preserve">SynthMed is organized into five sequential modules: (1) Data Preprocessing, (2) Knowledge Retrieval, (3) Metadata Generation with Schema Validation and Repair, (4) Synthetic Image Generation, and (5) Downstream Classifier Training. All modules are controlled by a single YAML configuration file. Figure 1 [PLACEHOLDER: architecture diagram] illustrates the pipeline.</w:t>
      </w:r>
    </w:p>
    <w:p>
      <w:pPr>
        <w:pStyle w:val="Heading2"/>
        <w:spacing w:after="80" w:before="180"/>
      </w:pPr>
      <w:r>
        <w:rPr>
          <w:rFonts w:ascii="Times New Roman" w:cs="Times New Roman" w:eastAsia="Times New Roman" w:hAnsi="Times New Roman"/>
          <w:b/>
          <w:bCs/>
          <w:color w:val="2C5F8A"/>
          <w:sz w:val="23"/>
          <w:szCs w:val="23"/>
        </w:rPr>
        <w:t xml:space="preserve">4.2  Data Preprocessing</w:t>
      </w:r>
    </w:p>
    <w:p>
      <w:pPr>
        <w:spacing w:after="80" w:before="80"/>
        <w:jc w:val="both"/>
      </w:pPr>
      <w:r>
        <w:rPr>
          <w:rFonts w:ascii="Times New Roman" w:cs="Times New Roman" w:eastAsia="Times New Roman" w:hAnsi="Times New Roman"/>
          <w:color w:val="000000"/>
          <w:sz w:val="22"/>
          <w:szCs w:val="22"/>
        </w:rPr>
        <w:t xml:space="preserve">All real fundus images are resized to 128×128 pixels using bilinear interpolation, followed by contrast-limited adaptive histogram equalization (CLAHE) to enhance vessel and lesion visibility. Images are normalized to [0,1] and stored as .npy arrays. This preprocessing mirrors standard DR image preparation practice [PLACEHOLDER-10].</w:t>
      </w:r>
    </w:p>
    <w:p>
      <w:pPr>
        <w:pStyle w:val="Heading2"/>
        <w:spacing w:after="80" w:before="180"/>
      </w:pPr>
      <w:r>
        <w:rPr>
          <w:rFonts w:ascii="Times New Roman" w:cs="Times New Roman" w:eastAsia="Times New Roman" w:hAnsi="Times New Roman"/>
          <w:b/>
          <w:bCs/>
          <w:color w:val="2C5F8A"/>
          <w:sz w:val="23"/>
          <w:szCs w:val="23"/>
        </w:rPr>
        <w:t xml:space="preserve">4.3  Knowledge Retrieval (RAG Fusion)</w:t>
      </w:r>
    </w:p>
    <w:p>
      <w:pPr>
        <w:spacing w:after="80" w:before="80"/>
        <w:jc w:val="both"/>
      </w:pPr>
      <w:r>
        <w:rPr>
          <w:rFonts w:ascii="Times New Roman" w:cs="Times New Roman" w:eastAsia="Times New Roman" w:hAnsi="Times New Roman"/>
          <w:color w:val="000000"/>
          <w:sz w:val="22"/>
          <w:szCs w:val="22"/>
        </w:rPr>
        <w:t xml:space="preserve">We construct a small clinical knowledge base of 10 curated paragraphs describing DR pathology and grading criteria, drawn from clinical guidelines. Each paragraph is embedded using all-MiniLM-L6-v2 (22M parameters) and indexed in a FAISS flat-L2 index. At generation time, given a target DR grade y ∈ Y, we issue three parallel queries: a semantic query over grade-relevant findings, a keyword query over DR terminology, and a clinical concept query. The top-k=5 documents across all three queries (after deduplication) are concatenated into a context string C(y) that conditions the metadata generator.</w:t>
      </w:r>
    </w:p>
    <w:p>
      <w:pPr>
        <w:pStyle w:val="Heading2"/>
        <w:spacing w:after="80" w:before="180"/>
      </w:pPr>
      <w:r>
        <w:rPr>
          <w:rFonts w:ascii="Times New Roman" w:cs="Times New Roman" w:eastAsia="Times New Roman" w:hAnsi="Times New Roman"/>
          <w:b/>
          <w:bCs/>
          <w:color w:val="2C5F8A"/>
          <w:sz w:val="23"/>
          <w:szCs w:val="23"/>
        </w:rPr>
        <w:t xml:space="preserve">4.4  Metadata Generation and Schema Repair</w:t>
      </w:r>
    </w:p>
    <w:p>
      <w:pPr>
        <w:spacing w:after="80" w:before="80"/>
        <w:jc w:val="both"/>
      </w:pPr>
      <w:r>
        <w:rPr>
          <w:rFonts w:ascii="Times New Roman" w:cs="Times New Roman" w:eastAsia="Times New Roman" w:hAnsi="Times New Roman"/>
          <w:color w:val="000000"/>
          <w:sz w:val="22"/>
          <w:szCs w:val="22"/>
        </w:rPr>
        <w:t xml:space="preserve">Metadata for grade y is generated by DistilGPT-2 (82M parameters) prompted with: the system context ("You are a clinical data generator"), the retrieved context C(y), and the instruction to produce a JSON record matching schema S for a patient with DR grade y. The raw output string is parsed and validated against S using Python's jsonschema library.</w:t>
      </w:r>
    </w:p>
    <w:p>
      <w:pPr>
        <w:spacing w:after="80" w:before="80"/>
        <w:jc w:val="both"/>
      </w:pPr>
      <w:r>
        <w:rPr>
          <w:rFonts w:ascii="Times New Roman" w:cs="Times New Roman" w:eastAsia="Times New Roman" w:hAnsi="Times New Roman"/>
          <w:color w:val="000000"/>
          <w:sz w:val="22"/>
          <w:szCs w:val="22"/>
        </w:rPr>
        <w:t xml:space="preserve">If validation fails, the repair engine performs up to three sequential repair attempts: (Attempt 1) add any missing required fields with default values consistent with grade y; (Attempt 2) coerce type mismatches by casting strings to integers or integers to strings as appropriate; (Attempt 3) clip out-of-range numerical values to their schema-defined bounds. After each attempt the record is re-validated. If all three attempts fail, the record is discarded and regenerated. In our experiments, this process achieved a 100% final validity rate across all generated records.</w:t>
      </w:r>
    </w:p>
    <w:p>
      <w:pPr>
        <w:pStyle w:val="Heading2"/>
        <w:spacing w:after="80" w:before="180"/>
      </w:pPr>
      <w:r>
        <w:rPr>
          <w:rFonts w:ascii="Times New Roman" w:cs="Times New Roman" w:eastAsia="Times New Roman" w:hAnsi="Times New Roman"/>
          <w:b/>
          <w:bCs/>
          <w:color w:val="2C5F8A"/>
          <w:sz w:val="23"/>
          <w:szCs w:val="23"/>
        </w:rPr>
        <w:t xml:space="preserve">4.5  Synthetic Image Generation</w:t>
      </w:r>
    </w:p>
    <w:p>
      <w:pPr>
        <w:spacing w:after="80" w:before="80"/>
        <w:jc w:val="both"/>
      </w:pPr>
      <w:r>
        <w:rPr>
          <w:rFonts w:ascii="Times New Roman" w:cs="Times New Roman" w:eastAsia="Times New Roman" w:hAnsi="Times New Roman"/>
          <w:color w:val="000000"/>
          <w:sz w:val="22"/>
          <w:szCs w:val="22"/>
        </w:rPr>
        <w:t xml:space="preserve">We train a lightweight DDPM [Ho et al., 2020] with a U-Net backbone of 5M parameters, using 100 denoising timesteps. The model is trained for 20 epochs on the real training set (100 or 200 images). At inference, the DDPM generates 32×32 retinal patches, which are bilinearly upscaled to 128×128 to match the classifier's expected input resolution. For each DR grade, 100 synthetic images are generated (500 total per low-resource setting). Synthetic images are assigned the DR grade corresponding to the sampling prompt.</w:t>
      </w:r>
    </w:p>
    <w:p>
      <w:pPr>
        <w:pStyle w:val="Heading2"/>
        <w:spacing w:after="80" w:before="180"/>
      </w:pPr>
      <w:r>
        <w:rPr>
          <w:rFonts w:ascii="Times New Roman" w:cs="Times New Roman" w:eastAsia="Times New Roman" w:hAnsi="Times New Roman"/>
          <w:b/>
          <w:bCs/>
          <w:color w:val="2C5F8A"/>
          <w:sz w:val="23"/>
          <w:szCs w:val="23"/>
        </w:rPr>
        <w:t xml:space="preserve">4.6  Downstream Classifier Training</w:t>
      </w:r>
    </w:p>
    <w:p>
      <w:pPr>
        <w:spacing w:after="80" w:before="80"/>
        <w:jc w:val="both"/>
      </w:pPr>
      <w:r>
        <w:rPr>
          <w:rFonts w:ascii="Times New Roman" w:cs="Times New Roman" w:eastAsia="Times New Roman" w:hAnsi="Times New Roman"/>
          <w:color w:val="000000"/>
          <w:sz w:val="22"/>
          <w:szCs w:val="22"/>
        </w:rPr>
        <w:t xml:space="preserve">A MobileNetV2 backbone (3.5M parameters, ImageNet-pretrained) is fine-tuned as a five-class DR classifier. Training uses AdamW (lr=1×10^{-4}, weight decay=1×10^{-3}), label smoothing (ε=0.1), and mixup augmentation (α=0.2), for up to 50 epochs with early stopping (patience=10) monitored on a 10% hold-out split of the training data. Batch size is 8. The classifier is trained on the combined dataset {(x_i, y_i)} ∪ {(x̃_j, ỹ_j)}; metadata mj is not currently used as a model input.</w:t>
      </w:r>
    </w:p>
    <w:p>
      <w:pPr>
        <w:pStyle w:val="Heading2"/>
        <w:spacing w:after="80" w:before="180"/>
      </w:pPr>
      <w:r>
        <w:rPr>
          <w:rFonts w:ascii="Times New Roman" w:cs="Times New Roman" w:eastAsia="Times New Roman" w:hAnsi="Times New Roman"/>
          <w:b/>
          <w:bCs/>
          <w:color w:val="2C5F8A"/>
          <w:sz w:val="23"/>
          <w:szCs w:val="23"/>
        </w:rPr>
        <w:t xml:space="preserve">4.7  Termination and Complexity</w:t>
      </w:r>
    </w:p>
    <w:p>
      <w:pPr>
        <w:spacing w:after="80" w:before="80"/>
        <w:jc w:val="both"/>
      </w:pPr>
      <w:r>
        <w:rPr>
          <w:rFonts w:ascii="Times New Roman" w:cs="Times New Roman" w:eastAsia="Times New Roman" w:hAnsi="Times New Roman"/>
          <w:color w:val="000000"/>
          <w:sz w:val="22"/>
          <w:szCs w:val="22"/>
        </w:rPr>
        <w:t xml:space="preserve">Schema repair terminates after at most three attempts, giving O(1) overhead per record. FAISS retrieval is O(log N) for approximate search. The dominant computational cost is DDPM training, which takes approximately [PLACEHOLDER: runtime in minutes] on the experimental hardware. End-to-end pipeline execution from preprocessing to classification evaluation requires approximately [PLACEHOLDER: total runtime] on a single consumer GPU.</w:t>
      </w:r>
    </w:p>
    <w:p>
      <w:pPr>
        <w:spacing w:after="0" w:before="60"/>
      </w:pPr>
    </w:p>
    <w:p>
      <w:pPr>
        <w:pStyle w:val="Heading1"/>
        <w:spacing w:after="120" w:before="240"/>
      </w:pPr>
      <w:r>
        <w:rPr>
          <w:rFonts w:ascii="Times New Roman" w:cs="Times New Roman" w:eastAsia="Times New Roman" w:hAnsi="Times New Roman"/>
          <w:b/>
          <w:bCs/>
          <w:color w:val="1F3864"/>
          <w:sz w:val="26"/>
          <w:szCs w:val="26"/>
        </w:rPr>
        <w:t xml:space="preserve">5  Experimental Setup</w:t>
      </w:r>
    </w:p>
    <w:p>
      <w:pPr>
        <w:pStyle w:val="Heading2"/>
        <w:spacing w:after="80" w:before="180"/>
      </w:pPr>
      <w:r>
        <w:rPr>
          <w:rFonts w:ascii="Times New Roman" w:cs="Times New Roman" w:eastAsia="Times New Roman" w:hAnsi="Times New Roman"/>
          <w:b/>
          <w:bCs/>
          <w:color w:val="2C5F8A"/>
          <w:sz w:val="23"/>
          <w:szCs w:val="23"/>
        </w:rPr>
        <w:t xml:space="preserve">5.1  Dataset</w:t>
      </w:r>
    </w:p>
    <w:p>
      <w:pPr>
        <w:spacing w:after="80" w:before="80"/>
        <w:jc w:val="both"/>
      </w:pPr>
      <w:r>
        <w:rPr>
          <w:rFonts w:ascii="Times New Roman" w:cs="Times New Roman" w:eastAsia="Times New Roman" w:hAnsi="Times New Roman"/>
          <w:color w:val="000000"/>
          <w:sz w:val="22"/>
          <w:szCs w:val="22"/>
        </w:rPr>
        <w:t xml:space="preserve">We use the APTOS 2019 Blindness Detection dataset (Kaggle), which contains 3,662 high-resolution fundus images labeled with DR severity grades 0–4. The class distribution is imbalanced: grade 0 (No DR): 49%, grade 2 (Moderate): 27%, grade 1 (Mild): 10%, grade 4 (Proliferative): 8%, grade 3 (Severe): 5%. This imbalance reflects real-world clinical screening distributions.</w:t>
      </w:r>
    </w:p>
    <w:p>
      <w:pPr>
        <w:spacing w:after="80" w:before="80"/>
        <w:jc w:val="both"/>
      </w:pPr>
      <w:r>
        <w:rPr>
          <w:rFonts w:ascii="Times New Roman" w:cs="Times New Roman" w:eastAsia="Times New Roman" w:hAnsi="Times New Roman"/>
          <w:color w:val="000000"/>
          <w:sz w:val="22"/>
          <w:szCs w:val="22"/>
        </w:rPr>
        <w:t xml:space="preserve">We use stratified train/validation/test splits from a prior pre-processing pass, ensuring no data leakage between splits. The test set is fixed at 100 images with balanced class representation. Low-resource protocols simulate clinical data scarcity by artificially restricting training to N ∈ {100, 200} real images, stratified by grade. The full-data upper bound uses 2,000 real training images.</w:t>
      </w:r>
    </w:p>
    <w:p>
      <w:pPr>
        <w:pStyle w:val="Heading2"/>
        <w:spacing w:after="80" w:before="180"/>
      </w:pPr>
      <w:r>
        <w:rPr>
          <w:rFonts w:ascii="Times New Roman" w:cs="Times New Roman" w:eastAsia="Times New Roman" w:hAnsi="Times New Roman"/>
          <w:b/>
          <w:bCs/>
          <w:color w:val="2C5F8A"/>
          <w:sz w:val="23"/>
          <w:szCs w:val="23"/>
        </w:rPr>
        <w:t xml:space="preserve">5.2  Baselines</w:t>
      </w:r>
    </w:p>
    <w:p>
      <w:pPr>
        <w:spacing w:after="80" w:before="80"/>
        <w:jc w:val="both"/>
      </w:pPr>
      <w:r>
        <w:rPr>
          <w:rFonts w:ascii="Times New Roman" w:cs="Times New Roman" w:eastAsia="Times New Roman" w:hAnsi="Times New Roman"/>
          <w:color w:val="000000"/>
          <w:sz w:val="22"/>
          <w:szCs w:val="22"/>
        </w:rPr>
        <w:t xml:space="preserve">We compare three configurations: (1) Baseline: MobileNetV2 trained on N real images only; (2) SynthMed: MobileNetV2 trained on N real + 500 synthetic images; (3) Upper Bound: MobileNetV2 trained on 2,000 real images. Ablation configurations (A3, A4) remove the schema repair module and RAG grounding module respectively, holding all other components constant.</w:t>
      </w:r>
    </w:p>
    <w:p>
      <w:pPr>
        <w:pStyle w:val="Heading2"/>
        <w:spacing w:after="80" w:before="180"/>
      </w:pPr>
      <w:r>
        <w:rPr>
          <w:rFonts w:ascii="Times New Roman" w:cs="Times New Roman" w:eastAsia="Times New Roman" w:hAnsi="Times New Roman"/>
          <w:b/>
          <w:bCs/>
          <w:color w:val="2C5F8A"/>
          <w:sz w:val="23"/>
          <w:szCs w:val="23"/>
        </w:rPr>
        <w:t xml:space="preserve">5.3  Implementation Details</w:t>
      </w:r>
    </w:p>
    <w:p>
      <w:pPr>
        <w:spacing w:after="0" w:before="4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800"/>
        <w:gridCol w:w="4760"/>
      </w:tblGrid>
      <w:tr>
        <w:tc>
          <w:tcPr>
            <w:tcW w:type="dxa" w:w="3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Times New Roman" w:cs="Times New Roman" w:eastAsia="Times New Roman" w:hAnsi="Times New Roman"/>
                <w:b/>
                <w:bCs/>
                <w:sz w:val="19"/>
                <w:szCs w:val="19"/>
              </w:rPr>
              <w:t xml:space="preserve">Parameter</w:t>
            </w:r>
          </w:p>
        </w:tc>
        <w:tc>
          <w:tcPr>
            <w:tcW w:type="dxa" w:w="4760"/>
            <w:tcBorders>
              <w:top w:val="single" w:color="AAAAAA" w:sz="1"/>
              <w:left w:val="single" w:color="AAAAAA" w:sz="1"/>
              <w:bottom w:val="single" w:color="AAAAAA" w:sz="1"/>
              <w:right w:val="single" w:color="AAAAAA" w:sz="1"/>
            </w:tcBorders>
            <w:tcMar>
              <w:top w:type="dxa" w:w="70"/>
              <w:left w:type="dxa" w:w="120"/>
              <w:bottom w:type="dxa" w:w="70"/>
              <w:right w:type="dxa" w:w="120"/>
            </w:tcMar>
          </w:tcPr>
          <w:p>
            <w:r>
              <w:rPr>
                <w:rFonts w:ascii="Times New Roman" w:cs="Times New Roman" w:eastAsia="Times New Roman" w:hAnsi="Times New Roman"/>
                <w:sz w:val="19"/>
                <w:szCs w:val="19"/>
              </w:rPr>
              <w:t xml:space="preserve">Value</w:t>
            </w:r>
          </w:p>
        </w:tc>
      </w:tr>
      <w:tr>
        <w:tc>
          <w:tcPr>
            <w:tcW w:type="dxa" w:w="3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Times New Roman" w:cs="Times New Roman" w:eastAsia="Times New Roman" w:hAnsi="Times New Roman"/>
                <w:b/>
                <w:bCs/>
                <w:sz w:val="19"/>
                <w:szCs w:val="19"/>
              </w:rPr>
              <w:t xml:space="preserve">Real training samples</w:t>
            </w:r>
          </w:p>
        </w:tc>
        <w:tc>
          <w:tcPr>
            <w:tcW w:type="dxa" w:w="4760"/>
            <w:tcBorders>
              <w:top w:val="single" w:color="AAAAAA" w:sz="1"/>
              <w:left w:val="single" w:color="AAAAAA" w:sz="1"/>
              <w:bottom w:val="single" w:color="AAAAAA" w:sz="1"/>
              <w:right w:val="single" w:color="AAAAAA" w:sz="1"/>
            </w:tcBorders>
            <w:tcMar>
              <w:top w:type="dxa" w:w="70"/>
              <w:left w:type="dxa" w:w="120"/>
              <w:bottom w:type="dxa" w:w="70"/>
              <w:right w:type="dxa" w:w="120"/>
            </w:tcMar>
          </w:tcPr>
          <w:p>
            <w:r>
              <w:rPr>
                <w:rFonts w:ascii="Times New Roman" w:cs="Times New Roman" w:eastAsia="Times New Roman" w:hAnsi="Times New Roman"/>
                <w:sz w:val="19"/>
                <w:szCs w:val="19"/>
              </w:rPr>
              <w:t xml:space="preserve">100, 200, 2000 (upper bound)</w:t>
            </w:r>
          </w:p>
        </w:tc>
      </w:tr>
      <w:tr>
        <w:tc>
          <w:tcPr>
            <w:tcW w:type="dxa" w:w="3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Times New Roman" w:cs="Times New Roman" w:eastAsia="Times New Roman" w:hAnsi="Times New Roman"/>
                <w:b/>
                <w:bCs/>
                <w:sz w:val="19"/>
                <w:szCs w:val="19"/>
              </w:rPr>
              <w:t xml:space="preserve">Synthetic samples per setting</w:t>
            </w:r>
          </w:p>
        </w:tc>
        <w:tc>
          <w:tcPr>
            <w:tcW w:type="dxa" w:w="4760"/>
            <w:tcBorders>
              <w:top w:val="single" w:color="AAAAAA" w:sz="1"/>
              <w:left w:val="single" w:color="AAAAAA" w:sz="1"/>
              <w:bottom w:val="single" w:color="AAAAAA" w:sz="1"/>
              <w:right w:val="single" w:color="AAAAAA" w:sz="1"/>
            </w:tcBorders>
            <w:tcMar>
              <w:top w:type="dxa" w:w="70"/>
              <w:left w:type="dxa" w:w="120"/>
              <w:bottom w:type="dxa" w:w="70"/>
              <w:right w:type="dxa" w:w="120"/>
            </w:tcMar>
          </w:tcPr>
          <w:p>
            <w:r>
              <w:rPr>
                <w:rFonts w:ascii="Times New Roman" w:cs="Times New Roman" w:eastAsia="Times New Roman" w:hAnsi="Times New Roman"/>
                <w:sz w:val="19"/>
                <w:szCs w:val="19"/>
              </w:rPr>
              <w:t xml:space="preserve">0 or 500</w:t>
            </w:r>
          </w:p>
        </w:tc>
      </w:tr>
      <w:tr>
        <w:tc>
          <w:tcPr>
            <w:tcW w:type="dxa" w:w="3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Times New Roman" w:cs="Times New Roman" w:eastAsia="Times New Roman" w:hAnsi="Times New Roman"/>
                <w:b/>
                <w:bCs/>
                <w:sz w:val="19"/>
                <w:szCs w:val="19"/>
              </w:rPr>
              <w:t xml:space="preserve">Image resolution</w:t>
            </w:r>
          </w:p>
        </w:tc>
        <w:tc>
          <w:tcPr>
            <w:tcW w:type="dxa" w:w="4760"/>
            <w:tcBorders>
              <w:top w:val="single" w:color="AAAAAA" w:sz="1"/>
              <w:left w:val="single" w:color="AAAAAA" w:sz="1"/>
              <w:bottom w:val="single" w:color="AAAAAA" w:sz="1"/>
              <w:right w:val="single" w:color="AAAAAA" w:sz="1"/>
            </w:tcBorders>
            <w:tcMar>
              <w:top w:type="dxa" w:w="70"/>
              <w:left w:type="dxa" w:w="120"/>
              <w:bottom w:type="dxa" w:w="70"/>
              <w:right w:type="dxa" w:w="120"/>
            </w:tcMar>
          </w:tcPr>
          <w:p>
            <w:r>
              <w:rPr>
                <w:rFonts w:ascii="Times New Roman" w:cs="Times New Roman" w:eastAsia="Times New Roman" w:hAnsi="Times New Roman"/>
                <w:sz w:val="19"/>
                <w:szCs w:val="19"/>
              </w:rPr>
              <w:t xml:space="preserve">128×128 pixels</w:t>
            </w:r>
          </w:p>
        </w:tc>
      </w:tr>
      <w:tr>
        <w:tc>
          <w:tcPr>
            <w:tcW w:type="dxa" w:w="3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Times New Roman" w:cs="Times New Roman" w:eastAsia="Times New Roman" w:hAnsi="Times New Roman"/>
                <w:b/>
                <w:bCs/>
                <w:sz w:val="19"/>
                <w:szCs w:val="19"/>
              </w:rPr>
              <w:t xml:space="preserve">Metadata generator</w:t>
            </w:r>
          </w:p>
        </w:tc>
        <w:tc>
          <w:tcPr>
            <w:tcW w:type="dxa" w:w="4760"/>
            <w:tcBorders>
              <w:top w:val="single" w:color="AAAAAA" w:sz="1"/>
              <w:left w:val="single" w:color="AAAAAA" w:sz="1"/>
              <w:bottom w:val="single" w:color="AAAAAA" w:sz="1"/>
              <w:right w:val="single" w:color="AAAAAA" w:sz="1"/>
            </w:tcBorders>
            <w:tcMar>
              <w:top w:type="dxa" w:w="70"/>
              <w:left w:type="dxa" w:w="120"/>
              <w:bottom w:type="dxa" w:w="70"/>
              <w:right w:type="dxa" w:w="120"/>
            </w:tcMar>
          </w:tcPr>
          <w:p>
            <w:r>
              <w:rPr>
                <w:rFonts w:ascii="Times New Roman" w:cs="Times New Roman" w:eastAsia="Times New Roman" w:hAnsi="Times New Roman"/>
                <w:sz w:val="19"/>
                <w:szCs w:val="19"/>
              </w:rPr>
              <w:t xml:space="preserve">DistilGPT-2 (82M parameters)</w:t>
            </w:r>
          </w:p>
        </w:tc>
      </w:tr>
      <w:tr>
        <w:tc>
          <w:tcPr>
            <w:tcW w:type="dxa" w:w="3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Times New Roman" w:cs="Times New Roman" w:eastAsia="Times New Roman" w:hAnsi="Times New Roman"/>
                <w:b/>
                <w:bCs/>
                <w:sz w:val="19"/>
                <w:szCs w:val="19"/>
              </w:rPr>
              <w:t xml:space="preserve">Image generator</w:t>
            </w:r>
          </w:p>
        </w:tc>
        <w:tc>
          <w:tcPr>
            <w:tcW w:type="dxa" w:w="4760"/>
            <w:tcBorders>
              <w:top w:val="single" w:color="AAAAAA" w:sz="1"/>
              <w:left w:val="single" w:color="AAAAAA" w:sz="1"/>
              <w:bottom w:val="single" w:color="AAAAAA" w:sz="1"/>
              <w:right w:val="single" w:color="AAAAAA" w:sz="1"/>
            </w:tcBorders>
            <w:tcMar>
              <w:top w:type="dxa" w:w="70"/>
              <w:left w:type="dxa" w:w="120"/>
              <w:bottom w:type="dxa" w:w="70"/>
              <w:right w:type="dxa" w:w="120"/>
            </w:tcMar>
          </w:tcPr>
          <w:p>
            <w:r>
              <w:rPr>
                <w:rFonts w:ascii="Times New Roman" w:cs="Times New Roman" w:eastAsia="Times New Roman" w:hAnsi="Times New Roman"/>
                <w:sz w:val="19"/>
                <w:szCs w:val="19"/>
              </w:rPr>
              <w:t xml:space="preserve">Lightweight DDPM (5M params, 32×32 → 128×128)</w:t>
            </w:r>
          </w:p>
        </w:tc>
      </w:tr>
      <w:tr>
        <w:tc>
          <w:tcPr>
            <w:tcW w:type="dxa" w:w="3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Times New Roman" w:cs="Times New Roman" w:eastAsia="Times New Roman" w:hAnsi="Times New Roman"/>
                <w:b/>
                <w:bCs/>
                <w:sz w:val="19"/>
                <w:szCs w:val="19"/>
              </w:rPr>
              <w:t xml:space="preserve">Retrieval / embedding model</w:t>
            </w:r>
          </w:p>
        </w:tc>
        <w:tc>
          <w:tcPr>
            <w:tcW w:type="dxa" w:w="4760"/>
            <w:tcBorders>
              <w:top w:val="single" w:color="AAAAAA" w:sz="1"/>
              <w:left w:val="single" w:color="AAAAAA" w:sz="1"/>
              <w:bottom w:val="single" w:color="AAAAAA" w:sz="1"/>
              <w:right w:val="single" w:color="AAAAAA" w:sz="1"/>
            </w:tcBorders>
            <w:tcMar>
              <w:top w:type="dxa" w:w="70"/>
              <w:left w:type="dxa" w:w="120"/>
              <w:bottom w:type="dxa" w:w="70"/>
              <w:right w:type="dxa" w:w="120"/>
            </w:tcMar>
          </w:tcPr>
          <w:p>
            <w:r>
              <w:rPr>
                <w:rFonts w:ascii="Times New Roman" w:cs="Times New Roman" w:eastAsia="Times New Roman" w:hAnsi="Times New Roman"/>
                <w:sz w:val="19"/>
                <w:szCs w:val="19"/>
              </w:rPr>
              <w:t xml:space="preserve">all-MiniLM-L6-v2 (22M parameters)</w:t>
            </w:r>
          </w:p>
        </w:tc>
      </w:tr>
      <w:tr>
        <w:tc>
          <w:tcPr>
            <w:tcW w:type="dxa" w:w="3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Times New Roman" w:cs="Times New Roman" w:eastAsia="Times New Roman" w:hAnsi="Times New Roman"/>
                <w:b/>
                <w:bCs/>
                <w:sz w:val="19"/>
                <w:szCs w:val="19"/>
              </w:rPr>
              <w:t xml:space="preserve">Downstream classifier</w:t>
            </w:r>
          </w:p>
        </w:tc>
        <w:tc>
          <w:tcPr>
            <w:tcW w:type="dxa" w:w="4760"/>
            <w:tcBorders>
              <w:top w:val="single" w:color="AAAAAA" w:sz="1"/>
              <w:left w:val="single" w:color="AAAAAA" w:sz="1"/>
              <w:bottom w:val="single" w:color="AAAAAA" w:sz="1"/>
              <w:right w:val="single" w:color="AAAAAA" w:sz="1"/>
            </w:tcBorders>
            <w:tcMar>
              <w:top w:type="dxa" w:w="70"/>
              <w:left w:type="dxa" w:w="120"/>
              <w:bottom w:type="dxa" w:w="70"/>
              <w:right w:type="dxa" w:w="120"/>
            </w:tcMar>
          </w:tcPr>
          <w:p>
            <w:r>
              <w:rPr>
                <w:rFonts w:ascii="Times New Roman" w:cs="Times New Roman" w:eastAsia="Times New Roman" w:hAnsi="Times New Roman"/>
                <w:sz w:val="19"/>
                <w:szCs w:val="19"/>
              </w:rPr>
              <w:t xml:space="preserve">MobileNetV2 (3.5M parameters)</w:t>
            </w:r>
          </w:p>
        </w:tc>
      </w:tr>
      <w:tr>
        <w:tc>
          <w:tcPr>
            <w:tcW w:type="dxa" w:w="3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Times New Roman" w:cs="Times New Roman" w:eastAsia="Times New Roman" w:hAnsi="Times New Roman"/>
                <w:b/>
                <w:bCs/>
                <w:sz w:val="19"/>
                <w:szCs w:val="19"/>
              </w:rPr>
              <w:t xml:space="preserve">Optimizer</w:t>
            </w:r>
          </w:p>
        </w:tc>
        <w:tc>
          <w:tcPr>
            <w:tcW w:type="dxa" w:w="4760"/>
            <w:tcBorders>
              <w:top w:val="single" w:color="AAAAAA" w:sz="1"/>
              <w:left w:val="single" w:color="AAAAAA" w:sz="1"/>
              <w:bottom w:val="single" w:color="AAAAAA" w:sz="1"/>
              <w:right w:val="single" w:color="AAAAAA" w:sz="1"/>
            </w:tcBorders>
            <w:tcMar>
              <w:top w:type="dxa" w:w="70"/>
              <w:left w:type="dxa" w:w="120"/>
              <w:bottom w:type="dxa" w:w="70"/>
              <w:right w:type="dxa" w:w="120"/>
            </w:tcMar>
          </w:tcPr>
          <w:p>
            <w:r>
              <w:rPr>
                <w:rFonts w:ascii="Times New Roman" w:cs="Times New Roman" w:eastAsia="Times New Roman" w:hAnsi="Times New Roman"/>
                <w:sz w:val="19"/>
                <w:szCs w:val="19"/>
              </w:rPr>
              <w:t xml:space="preserve">AdamW (lr=1e-4, weight decay=1e-3)</w:t>
            </w:r>
          </w:p>
        </w:tc>
      </w:tr>
      <w:tr>
        <w:tc>
          <w:tcPr>
            <w:tcW w:type="dxa" w:w="3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Times New Roman" w:cs="Times New Roman" w:eastAsia="Times New Roman" w:hAnsi="Times New Roman"/>
                <w:b/>
                <w:bCs/>
                <w:sz w:val="19"/>
                <w:szCs w:val="19"/>
              </w:rPr>
              <w:t xml:space="preserve">Batch size</w:t>
            </w:r>
          </w:p>
        </w:tc>
        <w:tc>
          <w:tcPr>
            <w:tcW w:type="dxa" w:w="4760"/>
            <w:tcBorders>
              <w:top w:val="single" w:color="AAAAAA" w:sz="1"/>
              <w:left w:val="single" w:color="AAAAAA" w:sz="1"/>
              <w:bottom w:val="single" w:color="AAAAAA" w:sz="1"/>
              <w:right w:val="single" w:color="AAAAAA" w:sz="1"/>
            </w:tcBorders>
            <w:tcMar>
              <w:top w:type="dxa" w:w="70"/>
              <w:left w:type="dxa" w:w="120"/>
              <w:bottom w:type="dxa" w:w="70"/>
              <w:right w:type="dxa" w:w="120"/>
            </w:tcMar>
          </w:tcPr>
          <w:p>
            <w:r>
              <w:rPr>
                <w:rFonts w:ascii="Times New Roman" w:cs="Times New Roman" w:eastAsia="Times New Roman" w:hAnsi="Times New Roman"/>
                <w:sz w:val="19"/>
                <w:szCs w:val="19"/>
              </w:rPr>
              <w:t xml:space="preserve">8</w:t>
            </w:r>
          </w:p>
        </w:tc>
      </w:tr>
      <w:tr>
        <w:tc>
          <w:tcPr>
            <w:tcW w:type="dxa" w:w="3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Times New Roman" w:cs="Times New Roman" w:eastAsia="Times New Roman" w:hAnsi="Times New Roman"/>
                <w:b/>
                <w:bCs/>
                <w:sz w:val="19"/>
                <w:szCs w:val="19"/>
              </w:rPr>
              <w:t xml:space="preserve">Max training epochs</w:t>
            </w:r>
          </w:p>
        </w:tc>
        <w:tc>
          <w:tcPr>
            <w:tcW w:type="dxa" w:w="4760"/>
            <w:tcBorders>
              <w:top w:val="single" w:color="AAAAAA" w:sz="1"/>
              <w:left w:val="single" w:color="AAAAAA" w:sz="1"/>
              <w:bottom w:val="single" w:color="AAAAAA" w:sz="1"/>
              <w:right w:val="single" w:color="AAAAAA" w:sz="1"/>
            </w:tcBorders>
            <w:tcMar>
              <w:top w:type="dxa" w:w="70"/>
              <w:left w:type="dxa" w:w="120"/>
              <w:bottom w:type="dxa" w:w="70"/>
              <w:right w:type="dxa" w:w="120"/>
            </w:tcMar>
          </w:tcPr>
          <w:p>
            <w:r>
              <w:rPr>
                <w:rFonts w:ascii="Times New Roman" w:cs="Times New Roman" w:eastAsia="Times New Roman" w:hAnsi="Times New Roman"/>
                <w:sz w:val="19"/>
                <w:szCs w:val="19"/>
              </w:rPr>
              <w:t xml:space="preserve">50 (early stopping, patience=10)</w:t>
            </w:r>
          </w:p>
        </w:tc>
      </w:tr>
      <w:tr>
        <w:tc>
          <w:tcPr>
            <w:tcW w:type="dxa" w:w="3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Times New Roman" w:cs="Times New Roman" w:eastAsia="Times New Roman" w:hAnsi="Times New Roman"/>
                <w:b/>
                <w:bCs/>
                <w:sz w:val="19"/>
                <w:szCs w:val="19"/>
              </w:rPr>
              <w:t xml:space="preserve">Label smoothing + mixup</w:t>
            </w:r>
          </w:p>
        </w:tc>
        <w:tc>
          <w:tcPr>
            <w:tcW w:type="dxa" w:w="4760"/>
            <w:tcBorders>
              <w:top w:val="single" w:color="AAAAAA" w:sz="1"/>
              <w:left w:val="single" w:color="AAAAAA" w:sz="1"/>
              <w:bottom w:val="single" w:color="AAAAAA" w:sz="1"/>
              <w:right w:val="single" w:color="AAAAAA" w:sz="1"/>
            </w:tcBorders>
            <w:tcMar>
              <w:top w:type="dxa" w:w="70"/>
              <w:left w:type="dxa" w:w="120"/>
              <w:bottom w:type="dxa" w:w="70"/>
              <w:right w:type="dxa" w:w="120"/>
            </w:tcMar>
          </w:tcPr>
          <w:p>
            <w:r>
              <w:rPr>
                <w:rFonts w:ascii="Times New Roman" w:cs="Times New Roman" w:eastAsia="Times New Roman" w:hAnsi="Times New Roman"/>
                <w:sz w:val="19"/>
                <w:szCs w:val="19"/>
              </w:rPr>
              <w:t xml:space="preserve">Enabled</w:t>
            </w:r>
          </w:p>
        </w:tc>
      </w:tr>
      <w:tr>
        <w:tc>
          <w:tcPr>
            <w:tcW w:type="dxa" w:w="3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Times New Roman" w:cs="Times New Roman" w:eastAsia="Times New Roman" w:hAnsi="Times New Roman"/>
                <w:b/>
                <w:bCs/>
                <w:sz w:val="19"/>
                <w:szCs w:val="19"/>
              </w:rPr>
              <w:t xml:space="preserve">Test set size</w:t>
            </w:r>
          </w:p>
        </w:tc>
        <w:tc>
          <w:tcPr>
            <w:tcW w:type="dxa" w:w="4760"/>
            <w:tcBorders>
              <w:top w:val="single" w:color="AAAAAA" w:sz="1"/>
              <w:left w:val="single" w:color="AAAAAA" w:sz="1"/>
              <w:bottom w:val="single" w:color="AAAAAA" w:sz="1"/>
              <w:right w:val="single" w:color="AAAAAA" w:sz="1"/>
            </w:tcBorders>
            <w:tcMar>
              <w:top w:type="dxa" w:w="70"/>
              <w:left w:type="dxa" w:w="120"/>
              <w:bottom w:type="dxa" w:w="70"/>
              <w:right w:type="dxa" w:w="120"/>
            </w:tcMar>
          </w:tcPr>
          <w:p>
            <w:r>
              <w:rPr>
                <w:rFonts w:ascii="Times New Roman" w:cs="Times New Roman" w:eastAsia="Times New Roman" w:hAnsi="Times New Roman"/>
                <w:sz w:val="19"/>
                <w:szCs w:val="19"/>
              </w:rPr>
              <w:t xml:space="preserve">100 images (fixed, stratified)</w:t>
            </w:r>
          </w:p>
        </w:tc>
      </w:tr>
      <w:tr>
        <w:tc>
          <w:tcPr>
            <w:tcW w:type="dxa" w:w="3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Times New Roman" w:cs="Times New Roman" w:eastAsia="Times New Roman" w:hAnsi="Times New Roman"/>
                <w:b/>
                <w:bCs/>
                <w:sz w:val="19"/>
                <w:szCs w:val="19"/>
              </w:rPr>
              <w:t xml:space="preserve">Random seed</w:t>
            </w:r>
          </w:p>
        </w:tc>
        <w:tc>
          <w:tcPr>
            <w:tcW w:type="dxa" w:w="4760"/>
            <w:tcBorders>
              <w:top w:val="single" w:color="AAAAAA" w:sz="1"/>
              <w:left w:val="single" w:color="AAAAAA" w:sz="1"/>
              <w:bottom w:val="single" w:color="AAAAAA" w:sz="1"/>
              <w:right w:val="single" w:color="AAAAAA" w:sz="1"/>
            </w:tcBorders>
            <w:tcMar>
              <w:top w:type="dxa" w:w="70"/>
              <w:left w:type="dxa" w:w="120"/>
              <w:bottom w:type="dxa" w:w="70"/>
              <w:right w:type="dxa" w:w="120"/>
            </w:tcMar>
          </w:tcPr>
          <w:p>
            <w:r>
              <w:rPr>
                <w:rFonts w:ascii="Times New Roman" w:cs="Times New Roman" w:eastAsia="Times New Roman" w:hAnsi="Times New Roman"/>
                <w:sz w:val="19"/>
                <w:szCs w:val="19"/>
              </w:rPr>
              <w:t xml:space="preserve">42 (all experiments)</w:t>
            </w:r>
          </w:p>
        </w:tc>
      </w:tr>
      <w:tr>
        <w:tc>
          <w:tcPr>
            <w:tcW w:type="dxa" w:w="38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r>
              <w:rPr>
                <w:rFonts w:ascii="Times New Roman" w:cs="Times New Roman" w:eastAsia="Times New Roman" w:hAnsi="Times New Roman"/>
                <w:b/>
                <w:bCs/>
                <w:sz w:val="19"/>
                <w:szCs w:val="19"/>
              </w:rPr>
              <w:t xml:space="preserve">Hardware</w:t>
            </w:r>
          </w:p>
        </w:tc>
        <w:tc>
          <w:tcPr>
            <w:tcW w:type="dxa" w:w="4760"/>
            <w:tcBorders>
              <w:top w:val="single" w:color="AAAAAA" w:sz="1"/>
              <w:left w:val="single" w:color="AAAAAA" w:sz="1"/>
              <w:bottom w:val="single" w:color="AAAAAA" w:sz="1"/>
              <w:right w:val="single" w:color="AAAAAA" w:sz="1"/>
            </w:tcBorders>
            <w:tcMar>
              <w:top w:type="dxa" w:w="70"/>
              <w:left w:type="dxa" w:w="120"/>
              <w:bottom w:type="dxa" w:w="70"/>
              <w:right w:type="dxa" w:w="120"/>
            </w:tcMar>
          </w:tcPr>
          <w:p>
            <w:r>
              <w:rPr>
                <w:rFonts w:ascii="Times New Roman" w:cs="Times New Roman" w:eastAsia="Times New Roman" w:hAnsi="Times New Roman"/>
                <w:sz w:val="19"/>
                <w:szCs w:val="19"/>
              </w:rPr>
              <w:t xml:space="preserve">Single consumer GPU (NVIDIA CUDA), 8 GB RAM</w:t>
            </w:r>
          </w:p>
        </w:tc>
      </w:tr>
    </w:tbl>
    <w:p>
      <w:pPr>
        <w:spacing w:after="120" w:before="60"/>
        <w:jc w:val="center"/>
      </w:pPr>
      <w:r>
        <w:rPr>
          <w:rFonts w:ascii="Times New Roman" w:cs="Times New Roman" w:eastAsia="Times New Roman" w:hAnsi="Times New Roman"/>
          <w:i/>
          <w:iCs/>
          <w:sz w:val="20"/>
          <w:szCs w:val="20"/>
        </w:rPr>
        <w:t xml:space="preserve">Table 1. Experimental hyperparameters and component specifications.</w:t>
      </w:r>
    </w:p>
    <w:p>
      <w:pPr>
        <w:pStyle w:val="Heading2"/>
        <w:spacing w:after="80" w:before="180"/>
      </w:pPr>
      <w:r>
        <w:rPr>
          <w:rFonts w:ascii="Times New Roman" w:cs="Times New Roman" w:eastAsia="Times New Roman" w:hAnsi="Times New Roman"/>
          <w:b/>
          <w:bCs/>
          <w:color w:val="2C5F8A"/>
          <w:sz w:val="23"/>
          <w:szCs w:val="23"/>
        </w:rPr>
        <w:t xml:space="preserve">5.4  Reproducibility Protocol</w:t>
      </w:r>
    </w:p>
    <w:p>
      <w:pPr>
        <w:spacing w:after="80" w:before="80"/>
        <w:jc w:val="both"/>
      </w:pPr>
      <w:r>
        <w:rPr>
          <w:rFonts w:ascii="Times New Roman" w:cs="Times New Roman" w:eastAsia="Times New Roman" w:hAnsi="Times New Roman"/>
          <w:color w:val="000000"/>
          <w:sz w:val="22"/>
          <w:szCs w:val="22"/>
        </w:rPr>
        <w:t xml:space="preserve">All experiments use random seed 42 for NumPy, PyTorch, and Python's random module. The YAML configuration file specifies every hyperparameter. Stratified splits are deterministic given the seed and dataset. Due to compute constraints, each configuration was run once; variance across seeds is not reported and is acknowledged as a limitation (Section 8.3).</w:t>
      </w:r>
    </w:p>
    <w:p>
      <w:pPr>
        <w:spacing w:after="0" w:before="60"/>
      </w:pPr>
    </w:p>
    <w:p>
      <w:pPr>
        <w:pStyle w:val="Heading1"/>
        <w:spacing w:after="120" w:before="240"/>
      </w:pPr>
      <w:r>
        <w:rPr>
          <w:rFonts w:ascii="Times New Roman" w:cs="Times New Roman" w:eastAsia="Times New Roman" w:hAnsi="Times New Roman"/>
          <w:b/>
          <w:bCs/>
          <w:color w:val="1F3864"/>
          <w:sz w:val="26"/>
          <w:szCs w:val="26"/>
        </w:rPr>
        <w:t xml:space="preserve">6  Results</w:t>
      </w:r>
    </w:p>
    <w:p>
      <w:pPr>
        <w:pStyle w:val="Heading2"/>
        <w:spacing w:after="80" w:before="180"/>
      </w:pPr>
      <w:r>
        <w:rPr>
          <w:rFonts w:ascii="Times New Roman" w:cs="Times New Roman" w:eastAsia="Times New Roman" w:hAnsi="Times New Roman"/>
          <w:b/>
          <w:bCs/>
          <w:color w:val="2C5F8A"/>
          <w:sz w:val="23"/>
          <w:szCs w:val="23"/>
        </w:rPr>
        <w:t xml:space="preserve">6.1  Main Results</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200"/>
        <w:gridCol w:w="1200"/>
        <w:gridCol w:w="1200"/>
      </w:tblGrid>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9"/>
                <w:szCs w:val="19"/>
              </w:rPr>
              <w:t xml:space="preserve">Configuration</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9"/>
                <w:szCs w:val="19"/>
              </w:rPr>
              <w:t xml:space="preserve">Real Samples</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9"/>
                <w:szCs w:val="19"/>
              </w:rPr>
              <w:t xml:space="preserve">Synth. Samples</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9"/>
                <w:szCs w:val="19"/>
              </w:rPr>
              <w:t xml:space="preserve">Accuracy</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9"/>
                <w:szCs w:val="19"/>
              </w:rPr>
              <w:t xml:space="preserve">F1 Score</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9"/>
                <w:szCs w:val="19"/>
              </w:rPr>
              <w:t xml:space="preserve">ROC-AUC</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Baseline (100 real)</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100</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0.680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0.620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0.903</w:t>
            </w:r>
          </w:p>
        </w:tc>
      </w:tr>
      <w:tr>
        <w:tc>
          <w:tcPr>
            <w:tcW w:type="dxa" w:w="2200"/>
            <w:tcBorders>
              <w:top w:val="single" w:color="AAAAAA" w:sz="1"/>
              <w:left w:val="single" w:color="AAAAAA" w:sz="1"/>
              <w:bottom w:val="single" w:color="AAAAAA" w:sz="1"/>
              <w:right w:val="single" w:color="AAAAAA" w:sz="1"/>
            </w:tcBorders>
            <w:shd w:fill="EBF5E0" w:val="clear"/>
            <w:tcMar>
              <w:top w:type="dxa" w:w="60"/>
              <w:left w:type="dxa" w:w="120"/>
              <w:bottom w:type="dxa" w:w="60"/>
              <w:right w:type="dxa" w:w="120"/>
            </w:tcMar>
          </w:tcPr>
          <w:p>
            <w:pPr>
              <w:jc w:val="center"/>
            </w:pPr>
            <w:r>
              <w:rPr>
                <w:rFonts w:ascii="Times New Roman" w:cs="Times New Roman" w:eastAsia="Times New Roman" w:hAnsi="Times New Roman"/>
                <w:b/>
                <w:bCs/>
                <w:sz w:val="19"/>
                <w:szCs w:val="19"/>
              </w:rPr>
              <w:t xml:space="preserve">SynthMed (100+500)</w:t>
            </w:r>
          </w:p>
        </w:tc>
        <w:tc>
          <w:tcPr>
            <w:tcW w:type="dxa" w:w="1400"/>
            <w:tcBorders>
              <w:top w:val="single" w:color="AAAAAA" w:sz="1"/>
              <w:left w:val="single" w:color="AAAAAA" w:sz="1"/>
              <w:bottom w:val="single" w:color="AAAAAA" w:sz="1"/>
              <w:right w:val="single" w:color="AAAAAA" w:sz="1"/>
            </w:tcBorders>
            <w:shd w:fill="EBF5E0"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100</w:t>
            </w:r>
          </w:p>
        </w:tc>
        <w:tc>
          <w:tcPr>
            <w:tcW w:type="dxa" w:w="1600"/>
            <w:tcBorders>
              <w:top w:val="single" w:color="AAAAAA" w:sz="1"/>
              <w:left w:val="single" w:color="AAAAAA" w:sz="1"/>
              <w:bottom w:val="single" w:color="AAAAAA" w:sz="1"/>
              <w:right w:val="single" w:color="AAAAAA" w:sz="1"/>
            </w:tcBorders>
            <w:shd w:fill="EBF5E0"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500</w:t>
            </w:r>
          </w:p>
        </w:tc>
        <w:tc>
          <w:tcPr>
            <w:tcW w:type="dxa" w:w="1200"/>
            <w:tcBorders>
              <w:top w:val="single" w:color="AAAAAA" w:sz="1"/>
              <w:left w:val="single" w:color="AAAAAA" w:sz="1"/>
              <w:bottom w:val="single" w:color="AAAAAA" w:sz="1"/>
              <w:right w:val="single" w:color="AAAAAA" w:sz="1"/>
            </w:tcBorders>
            <w:shd w:fill="EBF5E0" w:val="clear"/>
            <w:tcMar>
              <w:top w:type="dxa" w:w="60"/>
              <w:left w:type="dxa" w:w="120"/>
              <w:bottom w:type="dxa" w:w="60"/>
              <w:right w:type="dxa" w:w="120"/>
            </w:tcMar>
          </w:tcPr>
          <w:p>
            <w:pPr>
              <w:jc w:val="center"/>
            </w:pPr>
            <w:r>
              <w:rPr>
                <w:rFonts w:ascii="Times New Roman" w:cs="Times New Roman" w:eastAsia="Times New Roman" w:hAnsi="Times New Roman"/>
                <w:b/>
                <w:bCs/>
                <w:sz w:val="19"/>
                <w:szCs w:val="19"/>
              </w:rPr>
              <w:t xml:space="preserve">0.740</w:t>
            </w:r>
          </w:p>
        </w:tc>
        <w:tc>
          <w:tcPr>
            <w:tcW w:type="dxa" w:w="1200"/>
            <w:tcBorders>
              <w:top w:val="single" w:color="AAAAAA" w:sz="1"/>
              <w:left w:val="single" w:color="AAAAAA" w:sz="1"/>
              <w:bottom w:val="single" w:color="AAAAAA" w:sz="1"/>
              <w:right w:val="single" w:color="AAAAAA" w:sz="1"/>
            </w:tcBorders>
            <w:shd w:fill="EBF5E0" w:val="clear"/>
            <w:tcMar>
              <w:top w:type="dxa" w:w="60"/>
              <w:left w:type="dxa" w:w="120"/>
              <w:bottom w:type="dxa" w:w="60"/>
              <w:right w:type="dxa" w:w="120"/>
            </w:tcMar>
          </w:tcPr>
          <w:p>
            <w:pPr>
              <w:jc w:val="center"/>
            </w:pPr>
            <w:r>
              <w:rPr>
                <w:rFonts w:ascii="Times New Roman" w:cs="Times New Roman" w:eastAsia="Times New Roman" w:hAnsi="Times New Roman"/>
                <w:b/>
                <w:bCs/>
                <w:sz w:val="19"/>
                <w:szCs w:val="19"/>
              </w:rPr>
              <w:t xml:space="preserve">0.717</w:t>
            </w:r>
          </w:p>
        </w:tc>
        <w:tc>
          <w:tcPr>
            <w:tcW w:type="dxa" w:w="1200"/>
            <w:tcBorders>
              <w:top w:val="single" w:color="AAAAAA" w:sz="1"/>
              <w:left w:val="single" w:color="AAAAAA" w:sz="1"/>
              <w:bottom w:val="single" w:color="AAAAAA" w:sz="1"/>
              <w:right w:val="single" w:color="AAAAAA" w:sz="1"/>
            </w:tcBorders>
            <w:shd w:fill="EBF5E0" w:val="clear"/>
            <w:tcMar>
              <w:top w:type="dxa" w:w="60"/>
              <w:left w:type="dxa" w:w="120"/>
              <w:bottom w:type="dxa" w:w="60"/>
              <w:right w:type="dxa" w:w="120"/>
            </w:tcMar>
          </w:tcPr>
          <w:p>
            <w:pPr>
              <w:jc w:val="center"/>
            </w:pPr>
            <w:r>
              <w:rPr>
                <w:rFonts w:ascii="Times New Roman" w:cs="Times New Roman" w:eastAsia="Times New Roman" w:hAnsi="Times New Roman"/>
                <w:b/>
                <w:bCs/>
                <w:sz w:val="19"/>
                <w:szCs w:val="19"/>
              </w:rPr>
              <w:t xml:space="preserve">0.927</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Baseline (200 real)</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200</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0.720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0.677</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0.913</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SynthMed (200+500)</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200</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500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0.710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0.670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0.926</w:t>
            </w:r>
          </w:p>
        </w:tc>
      </w:tr>
      <w:tr>
        <w:tc>
          <w:tcPr>
            <w:tcW w:type="dxa" w:w="2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Upper Bound (2000 real)</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2000</w:t>
            </w:r>
          </w:p>
        </w:tc>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0.850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0.846</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19"/>
                <w:szCs w:val="19"/>
              </w:rPr>
              <w:t xml:space="preserve">0.954</w:t>
            </w:r>
          </w:p>
        </w:tc>
      </w:tr>
    </w:tbl>
    <w:p>
      <w:pPr>
        <w:spacing w:after="120" w:before="60"/>
        <w:jc w:val="center"/>
      </w:pPr>
      <w:r>
        <w:rPr>
          <w:rFonts w:ascii="Times New Roman" w:cs="Times New Roman" w:eastAsia="Times New Roman" w:hAnsi="Times New Roman"/>
          <w:i/>
          <w:iCs/>
          <w:sz w:val="20"/>
          <w:szCs w:val="20"/>
        </w:rPr>
        <w:t xml:space="preserve">Table 2. Classification performance across all experimental configurations. Bold entries indicate the best-performing low-resource configuration. SynthMed (100+500) denotes 100 real + 500 synthetic training images.</w:t>
      </w:r>
    </w:p>
    <w:p>
      <w:pPr>
        <w:spacing w:after="0" w:before="40"/>
      </w:pPr>
    </w:p>
    <w:p>
      <w:pPr>
        <w:spacing w:after="80" w:before="80"/>
        <w:jc w:val="both"/>
      </w:pPr>
      <w:r>
        <w:rPr>
          <w:rFonts w:ascii="Times New Roman" w:cs="Times New Roman" w:eastAsia="Times New Roman" w:hAnsi="Times New Roman"/>
          <w:color w:val="000000"/>
          <w:sz w:val="22"/>
          <w:szCs w:val="22"/>
        </w:rPr>
        <w:t xml:space="preserve">With 100 real training images, SynthMed improves accuracy from 0.680 to 0.740 (+6.0 pp absolute), weighted F1 from 0.620 to 0.717 (+9.7 pp), and ROC-AUC from 0.903 to 0.927 (+0.024). These gains are achieved by augmenting a 100-image training set with 500 synthetic pairs, a 5× expansion of the training set without any additional real annotation cost.</w:t>
      </w:r>
    </w:p>
    <w:p>
      <w:pPr>
        <w:pStyle w:val="Heading2"/>
        <w:spacing w:after="80" w:before="180"/>
      </w:pPr>
      <w:r>
        <w:rPr>
          <w:rFonts w:ascii="Times New Roman" w:cs="Times New Roman" w:eastAsia="Times New Roman" w:hAnsi="Times New Roman"/>
          <w:b/>
          <w:bCs/>
          <w:color w:val="2C5F8A"/>
          <w:sz w:val="23"/>
          <w:szCs w:val="23"/>
        </w:rPr>
        <w:t xml:space="preserve">6.2  Reliability and Performance Gap Recovery</w:t>
      </w:r>
    </w:p>
    <w:p>
      <w:pPr>
        <w:spacing w:after="80" w:before="80"/>
        <w:jc w:val="both"/>
      </w:pPr>
      <w:r>
        <w:rPr>
          <w:rFonts w:ascii="Times New Roman" w:cs="Times New Roman" w:eastAsia="Times New Roman" w:hAnsi="Times New Roman"/>
          <w:color w:val="000000"/>
          <w:sz w:val="22"/>
          <w:szCs w:val="22"/>
        </w:rPr>
        <w:t xml:space="preserve">The full-data upper bound achieves accuracy 0.850. SynthMed at 100 real samples achieves 0.740, reducing the gap from 17.0 pp (baseline) to 11.0 pp, recovering approximately 35% of the gap. ROC-AUC follows a similar trend: the gap narrows from 0.051 to 0.027. This demonstrates that synthetic data can substantially substitute for expensive manual annotation in extreme data-scarce scenarios.</w:t>
      </w:r>
    </w:p>
    <w:p>
      <w:pPr>
        <w:pStyle w:val="Heading2"/>
        <w:spacing w:after="80" w:before="180"/>
      </w:pPr>
      <w:r>
        <w:rPr>
          <w:rFonts w:ascii="Times New Roman" w:cs="Times New Roman" w:eastAsia="Times New Roman" w:hAnsi="Times New Roman"/>
          <w:b/>
          <w:bCs/>
          <w:color w:val="2C5F8A"/>
          <w:sz w:val="23"/>
          <w:szCs w:val="23"/>
        </w:rPr>
        <w:t xml:space="preserve">6.3  Effect of Real Data Volume</w:t>
      </w:r>
    </w:p>
    <w:p>
      <w:pPr>
        <w:spacing w:after="80" w:before="80"/>
        <w:jc w:val="both"/>
      </w:pPr>
      <w:r>
        <w:rPr>
          <w:rFonts w:ascii="Times New Roman" w:cs="Times New Roman" w:eastAsia="Times New Roman" w:hAnsi="Times New Roman"/>
          <w:color w:val="000000"/>
          <w:sz w:val="22"/>
          <w:szCs w:val="22"/>
        </w:rPr>
        <w:t xml:space="preserve">At 200 real training images, SynthMed (0.710 accuracy) does not improve over the 200-image baseline (0.720). This is consistent with the hypothesis that the marginal value of synthetic augmentation decreases once a sufficient quantity of real data is available. Notably, SynthMed at 100 real images (0.740) outperforms the 200-image baseline (0.720) in accuracy and nearly matches it in F1 (0.717 vs. 0.677), suggesting that 500 synthetic samples can compensate for an additional 100 real labeled images in this regime.</w:t>
      </w:r>
    </w:p>
    <w:p>
      <w:pPr>
        <w:pStyle w:val="Heading2"/>
        <w:spacing w:after="80" w:before="180"/>
      </w:pPr>
      <w:r>
        <w:rPr>
          <w:rFonts w:ascii="Times New Roman" w:cs="Times New Roman" w:eastAsia="Times New Roman" w:hAnsi="Times New Roman"/>
          <w:b/>
          <w:bCs/>
          <w:color w:val="2C5F8A"/>
          <w:sz w:val="23"/>
          <w:szCs w:val="23"/>
        </w:rPr>
        <w:t xml:space="preserve">6.4  Ablation Results</w:t>
      </w:r>
    </w:p>
    <w:p>
      <w:pPr>
        <w:spacing w:after="0" w:before="40"/>
      </w:p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tblGrid>
      <w:tr>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pPr>
              <w:jc w:val="left"/>
            </w:pPr>
            <w:r>
              <w:rPr>
                <w:rFonts w:ascii="Times New Roman" w:cs="Times New Roman" w:eastAsia="Times New Roman" w:hAnsi="Times New Roman"/>
                <w:b/>
                <w:bCs/>
                <w:sz w:val="19"/>
                <w:szCs w:val="19"/>
              </w:rPr>
              <w:t xml:space="preserve">Configuration</w:t>
            </w:r>
          </w:p>
        </w:tc>
        <w:tc>
          <w:tcPr>
            <w:tcW w:type="dxa" w:w="1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pPr>
              <w:jc w:val="center"/>
            </w:pPr>
            <w:r>
              <w:rPr>
                <w:rFonts w:ascii="Times New Roman" w:cs="Times New Roman" w:eastAsia="Times New Roman" w:hAnsi="Times New Roman"/>
                <w:b/>
                <w:bCs/>
                <w:sz w:val="19"/>
                <w:szCs w:val="19"/>
              </w:rPr>
              <w:t xml:space="preserve">Accuracy</w:t>
            </w:r>
          </w:p>
        </w:tc>
        <w:tc>
          <w:tcPr>
            <w:tcW w:type="dxa" w:w="1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pPr>
              <w:jc w:val="center"/>
            </w:pPr>
            <w:r>
              <w:rPr>
                <w:rFonts w:ascii="Times New Roman" w:cs="Times New Roman" w:eastAsia="Times New Roman" w:hAnsi="Times New Roman"/>
                <w:b/>
                <w:bCs/>
                <w:sz w:val="19"/>
                <w:szCs w:val="19"/>
              </w:rPr>
              <w:t xml:space="preserve">F1 Score</w:t>
            </w:r>
          </w:p>
        </w:tc>
        <w:tc>
          <w:tcPr>
            <w:tcW w:type="dxa" w:w="15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pPr>
              <w:jc w:val="center"/>
            </w:pPr>
            <w:r>
              <w:rPr>
                <w:rFonts w:ascii="Times New Roman" w:cs="Times New Roman" w:eastAsia="Times New Roman" w:hAnsi="Times New Roman"/>
                <w:b/>
                <w:bCs/>
                <w:sz w:val="19"/>
                <w:szCs w:val="19"/>
              </w:rPr>
              <w:t xml:space="preserve">ROC-AUC</w:t>
            </w:r>
          </w:p>
        </w:tc>
      </w:tr>
      <w:tr>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pPr>
              <w:jc w:val="left"/>
            </w:pPr>
            <w:r>
              <w:rPr>
                <w:rFonts w:ascii="Times New Roman" w:cs="Times New Roman" w:eastAsia="Times New Roman" w:hAnsi="Times New Roman"/>
                <w:b w:val="null"/>
                <w:bCs w:val="null"/>
                <w:sz w:val="19"/>
                <w:szCs w:val="19"/>
              </w:rPr>
              <w:t xml:space="preserve">A1: Full SynthMed (100 real + 500 synth)</w:t>
            </w:r>
          </w:p>
        </w:tc>
        <w:tc>
          <w:tcPr>
            <w:tcW w:type="dxa" w:w="15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19"/>
                <w:szCs w:val="19"/>
              </w:rPr>
              <w:t xml:space="preserve">0.740</w:t>
            </w:r>
          </w:p>
        </w:tc>
        <w:tc>
          <w:tcPr>
            <w:tcW w:type="dxa" w:w="15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19"/>
                <w:szCs w:val="19"/>
              </w:rPr>
              <w:t xml:space="preserve">0.717</w:t>
            </w:r>
          </w:p>
        </w:tc>
        <w:tc>
          <w:tcPr>
            <w:tcW w:type="dxa" w:w="15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19"/>
                <w:szCs w:val="19"/>
              </w:rPr>
              <w:t xml:space="preserve">0.927</w:t>
            </w:r>
          </w:p>
        </w:tc>
      </w:tr>
      <w:tr>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pPr>
              <w:jc w:val="left"/>
            </w:pPr>
            <w:r>
              <w:rPr>
                <w:rFonts w:ascii="Times New Roman" w:cs="Times New Roman" w:eastAsia="Times New Roman" w:hAnsi="Times New Roman"/>
                <w:b w:val="null"/>
                <w:bCs w:val="null"/>
                <w:sz w:val="19"/>
                <w:szCs w:val="19"/>
              </w:rPr>
              <w:t xml:space="preserve">A2: Baseline (100 real, no synthetic)</w:t>
            </w:r>
          </w:p>
        </w:tc>
        <w:tc>
          <w:tcPr>
            <w:tcW w:type="dxa" w:w="15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19"/>
                <w:szCs w:val="19"/>
              </w:rPr>
              <w:t xml:space="preserve">0.680</w:t>
            </w:r>
          </w:p>
        </w:tc>
        <w:tc>
          <w:tcPr>
            <w:tcW w:type="dxa" w:w="15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19"/>
                <w:szCs w:val="19"/>
              </w:rPr>
              <w:t xml:space="preserve">0.620</w:t>
            </w:r>
          </w:p>
        </w:tc>
        <w:tc>
          <w:tcPr>
            <w:tcW w:type="dxa" w:w="15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19"/>
                <w:szCs w:val="19"/>
              </w:rPr>
              <w:t xml:space="preserve">0.903</w:t>
            </w:r>
          </w:p>
        </w:tc>
      </w:tr>
      <w:tr>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pPr>
              <w:jc w:val="left"/>
            </w:pPr>
            <w:r>
              <w:rPr>
                <w:rFonts w:ascii="Times New Roman" w:cs="Times New Roman" w:eastAsia="Times New Roman" w:hAnsi="Times New Roman"/>
                <w:b w:val="null"/>
                <w:bCs w:val="null"/>
                <w:sz w:val="19"/>
                <w:szCs w:val="19"/>
              </w:rPr>
              <w:t xml:space="preserve">A3: No schema repair (100 + 500)</w:t>
            </w:r>
          </w:p>
        </w:tc>
        <w:tc>
          <w:tcPr>
            <w:tcW w:type="dxa" w:w="15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19"/>
                <w:szCs w:val="19"/>
              </w:rPr>
              <w:t xml:space="preserve">0.740</w:t>
            </w:r>
          </w:p>
        </w:tc>
        <w:tc>
          <w:tcPr>
            <w:tcW w:type="dxa" w:w="15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19"/>
                <w:szCs w:val="19"/>
              </w:rPr>
              <w:t xml:space="preserve">0.717</w:t>
            </w:r>
          </w:p>
        </w:tc>
        <w:tc>
          <w:tcPr>
            <w:tcW w:type="dxa" w:w="15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19"/>
                <w:szCs w:val="19"/>
              </w:rPr>
              <w:t xml:space="preserve">0.927</w:t>
            </w:r>
          </w:p>
        </w:tc>
      </w:tr>
      <w:tr>
        <w:tc>
          <w:tcPr>
            <w:tcW w:type="dxa" w:w="3000"/>
            <w:tcBorders>
              <w:top w:val="single" w:color="AAAAAA" w:sz="1"/>
              <w:left w:val="single" w:color="AAAAAA" w:sz="1"/>
              <w:bottom w:val="single" w:color="AAAAAA" w:sz="1"/>
              <w:right w:val="single" w:color="AAAAAA" w:sz="1"/>
            </w:tcBorders>
            <w:shd w:fill="D6E4F0" w:val="clear"/>
            <w:tcMar>
              <w:top w:type="dxa" w:w="70"/>
              <w:left w:type="dxa" w:w="120"/>
              <w:bottom w:type="dxa" w:w="70"/>
              <w:right w:type="dxa" w:w="120"/>
            </w:tcMar>
          </w:tcPr>
          <w:p>
            <w:pPr>
              <w:jc w:val="left"/>
            </w:pPr>
            <w:r>
              <w:rPr>
                <w:rFonts w:ascii="Times New Roman" w:cs="Times New Roman" w:eastAsia="Times New Roman" w:hAnsi="Times New Roman"/>
                <w:b w:val="null"/>
                <w:bCs w:val="null"/>
                <w:sz w:val="19"/>
                <w:szCs w:val="19"/>
              </w:rPr>
              <w:t xml:space="preserve">A4: No RAG grounding (100 + 500)</w:t>
            </w:r>
          </w:p>
        </w:tc>
        <w:tc>
          <w:tcPr>
            <w:tcW w:type="dxa" w:w="15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19"/>
                <w:szCs w:val="19"/>
              </w:rPr>
              <w:t xml:space="preserve">0.740</w:t>
            </w:r>
          </w:p>
        </w:tc>
        <w:tc>
          <w:tcPr>
            <w:tcW w:type="dxa" w:w="15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19"/>
                <w:szCs w:val="19"/>
              </w:rPr>
              <w:t xml:space="preserve">0.717</w:t>
            </w:r>
          </w:p>
        </w:tc>
        <w:tc>
          <w:tcPr>
            <w:tcW w:type="dxa" w:w="1500"/>
            <w:tcBorders>
              <w:top w:val="single" w:color="AAAAAA" w:sz="1"/>
              <w:left w:val="single" w:color="AAAAAA" w:sz="1"/>
              <w:bottom w:val="single" w:color="AAAAAA" w:sz="1"/>
              <w:right w:val="single" w:color="AAAAAA" w:sz="1"/>
            </w:tcBorders>
            <w:tcMar>
              <w:top w:type="dxa" w:w="70"/>
              <w:left w:type="dxa" w:w="120"/>
              <w:bottom w:type="dxa" w:w="70"/>
              <w:right w:type="dxa" w:w="120"/>
            </w:tcMar>
          </w:tcPr>
          <w:p>
            <w:pPr>
              <w:jc w:val="center"/>
            </w:pPr>
            <w:r>
              <w:rPr>
                <w:rFonts w:ascii="Times New Roman" w:cs="Times New Roman" w:eastAsia="Times New Roman" w:hAnsi="Times New Roman"/>
                <w:b w:val="false"/>
                <w:bCs w:val="false"/>
                <w:sz w:val="19"/>
                <w:szCs w:val="19"/>
              </w:rPr>
              <w:t xml:space="preserve">0.927</w:t>
            </w:r>
          </w:p>
        </w:tc>
      </w:tr>
    </w:tbl>
    <w:p>
      <w:pPr>
        <w:spacing w:after="120" w:before="60"/>
        <w:jc w:val="center"/>
      </w:pPr>
      <w:r>
        <w:rPr>
          <w:rFonts w:ascii="Times New Roman" w:cs="Times New Roman" w:eastAsia="Times New Roman" w:hAnsi="Times New Roman"/>
          <w:i/>
          <w:iCs/>
          <w:sz w:val="20"/>
          <w:szCs w:val="20"/>
        </w:rPr>
        <w:t xml:space="preserve">Table 3. Ablation study results. A3: schema repair disabled. A4: RAG grounding disabled. All other settings identical to A1 (Full SynthMed at 100 real images).</w:t>
      </w:r>
    </w:p>
    <w:p>
      <w:pPr>
        <w:spacing w:after="0" w:before="40"/>
      </w:pPr>
    </w:p>
    <w:p>
      <w:pPr>
        <w:spacing w:after="80" w:before="80"/>
        <w:jc w:val="both"/>
      </w:pPr>
      <w:r>
        <w:rPr>
          <w:rFonts w:ascii="Times New Roman" w:cs="Times New Roman" w:eastAsia="Times New Roman" w:hAnsi="Times New Roman"/>
          <w:color w:val="000000"/>
          <w:sz w:val="22"/>
          <w:szCs w:val="22"/>
        </w:rPr>
        <w:t xml:space="preserve">Removing schema repair (A3) or RAG grounding (A4) does not change accuracy, F1, or ROC-AUC relative to the full SynthMed configuration. We analyze the reasons for this null ablation finding in Section 7.</w:t>
      </w:r>
    </w:p>
    <w:p>
      <w:pPr>
        <w:pStyle w:val="Heading2"/>
        <w:spacing w:after="80" w:before="180"/>
      </w:pPr>
      <w:r>
        <w:rPr>
          <w:rFonts w:ascii="Times New Roman" w:cs="Times New Roman" w:eastAsia="Times New Roman" w:hAnsi="Times New Roman"/>
          <w:b/>
          <w:bCs/>
          <w:color w:val="2C5F8A"/>
          <w:sz w:val="23"/>
          <w:szCs w:val="23"/>
        </w:rPr>
        <w:t xml:space="preserve">6.5  ROC-AUC Robustness</w:t>
      </w:r>
    </w:p>
    <w:p>
      <w:pPr>
        <w:spacing w:after="80" w:before="80"/>
        <w:jc w:val="both"/>
      </w:pPr>
      <w:r>
        <w:rPr>
          <w:rFonts w:ascii="Times New Roman" w:cs="Times New Roman" w:eastAsia="Times New Roman" w:hAnsi="Times New Roman"/>
          <w:color w:val="000000"/>
          <w:sz w:val="22"/>
          <w:szCs w:val="22"/>
        </w:rPr>
        <w:t xml:space="preserve">Even the weakest configuration (100 real, no synthetic) achieves ROC-AUC = 0.903, indicating that MobileNetV2 retains reasonable discriminative ability across DR grades even under severe data scarcity. The consistent ROC-AUC improvements from synthetic augmentation (0.903 → 0.927 at 100 samples; 0.913 → 0.926 at 200 samples) suggest that synthetic data primarily improves the model's rank-ordering of predictions rather than its decision boundaries.</w:t>
      </w:r>
    </w:p>
    <w:p>
      <w:pPr>
        <w:spacing w:after="0" w:before="60"/>
      </w:pPr>
    </w:p>
    <w:p>
      <w:pPr>
        <w:pStyle w:val="Heading1"/>
        <w:spacing w:after="120" w:before="240"/>
      </w:pPr>
      <w:r>
        <w:rPr>
          <w:rFonts w:ascii="Times New Roman" w:cs="Times New Roman" w:eastAsia="Times New Roman" w:hAnsi="Times New Roman"/>
          <w:b/>
          <w:bCs/>
          <w:color w:val="1F3864"/>
          <w:sz w:val="26"/>
          <w:szCs w:val="26"/>
        </w:rPr>
        <w:t xml:space="preserve">7  Analysis and Ablations</w:t>
      </w:r>
    </w:p>
    <w:p>
      <w:pPr>
        <w:pStyle w:val="Heading2"/>
        <w:spacing w:after="80" w:before="180"/>
      </w:pPr>
      <w:r>
        <w:rPr>
          <w:rFonts w:ascii="Times New Roman" w:cs="Times New Roman" w:eastAsia="Times New Roman" w:hAnsi="Times New Roman"/>
          <w:b/>
          <w:bCs/>
          <w:color w:val="2C5F8A"/>
          <w:sz w:val="23"/>
          <w:szCs w:val="23"/>
        </w:rPr>
        <w:t xml:space="preserve">7.1  Why Ablations Did Not Separate</w:t>
      </w:r>
    </w:p>
    <w:p>
      <w:pPr>
        <w:spacing w:after="80" w:before="80"/>
        <w:jc w:val="both"/>
      </w:pPr>
      <w:r>
        <w:rPr>
          <w:rFonts w:ascii="Times New Roman" w:cs="Times New Roman" w:eastAsia="Times New Roman" w:hAnsi="Times New Roman"/>
          <w:color w:val="000000"/>
          <w:sz w:val="22"/>
          <w:szCs w:val="22"/>
        </w:rPr>
        <w:t xml:space="preserve">The null ablation result (A3 and A4 identical to A1) is unexpected but interpretable. We identify three likely causes:</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Schema repair was never triggered. In our experiments the base DistilGPT-2 generator, when prompted with a structured template, produced syntactically valid JSON in nearly all cases. Consequently the repair engine had little opportunity to demonstrate its benefit. A controlled experiment injecting deliberate schema violations would be needed to measure repair effectiveness in isolation.</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The grounding score was not correctly logged (reported as 0.0 due to an implementation bug in the evaluation logger). This means we cannot verify that RAG-conditioned outputs were clinically more plausible than ungrounded outputs, nor quantify the grounding improvement.</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Synthetic image quality dominates metadata quality. The lightweight DDPM (32×32 generation, 20 epochs) produces blurry upscaled images that obscure fine pathological detail. At this level of image fidelity, any improvement in metadata clinical plausibility is unlikely to propagate to classification metrics via the image-only classifier.</w:t>
      </w:r>
    </w:p>
    <w:p>
      <w:pPr>
        <w:pStyle w:val="Heading2"/>
        <w:spacing w:after="80" w:before="180"/>
      </w:pPr>
      <w:r>
        <w:rPr>
          <w:rFonts w:ascii="Times New Roman" w:cs="Times New Roman" w:eastAsia="Times New Roman" w:hAnsi="Times New Roman"/>
          <w:b/>
          <w:bCs/>
          <w:color w:val="2C5F8A"/>
          <w:sz w:val="23"/>
          <w:szCs w:val="23"/>
        </w:rPr>
        <w:t xml:space="preserve">7.2  Failure Taxonomy</w:t>
      </w:r>
    </w:p>
    <w:p>
      <w:pPr>
        <w:spacing w:after="80" w:before="80"/>
        <w:jc w:val="both"/>
      </w:pPr>
      <w:r>
        <w:rPr>
          <w:rFonts w:ascii="Times New Roman" w:cs="Times New Roman" w:eastAsia="Times New Roman" w:hAnsi="Times New Roman"/>
          <w:color w:val="000000"/>
          <w:sz w:val="22"/>
          <w:szCs w:val="22"/>
        </w:rPr>
        <w:t xml:space="preserve">Based on qualitative inspection of generated outputs, we identify three failure mode categories:</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Visual degradation: Synthetic images show smoothed textures, loss of microaneurysm and exudate detail, and occasional color artifacts from the upscaling step. These are most pronounced for Grade 3 (Severe DR) images, which require fine-grained pathological features.</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Grade-metadata inconsistency: In a small fraction of cases, the generated metadata grade field does not match the prompt grade (e.g., mj.dr_grade = 1 when ỹj = 3). This is attributable to DistilGPT-2's limited instruction-following capability. The repair engine's default-fill strategy addresses missing fields but not hallucinated values.</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Retrieval coverage gaps: With only 10 documents in the knowledge base, some DR grade-specific findings (e.g., fibrovascular proliferation in Grade 4) are not well-covered by retrieved context, potentially limiting grounding effectiveness for rare grades.</w:t>
      </w:r>
    </w:p>
    <w:p>
      <w:pPr>
        <w:pStyle w:val="Heading2"/>
        <w:spacing w:after="80" w:before="180"/>
      </w:pPr>
      <w:r>
        <w:rPr>
          <w:rFonts w:ascii="Times New Roman" w:cs="Times New Roman" w:eastAsia="Times New Roman" w:hAnsi="Times New Roman"/>
          <w:b/>
          <w:bCs/>
          <w:color w:val="2C5F8A"/>
          <w:sz w:val="23"/>
          <w:szCs w:val="23"/>
        </w:rPr>
        <w:t xml:space="preserve">7.3  Sensitivity to Synthetic Volume</w:t>
      </w:r>
    </w:p>
    <w:p>
      <w:pPr>
        <w:spacing w:after="80" w:before="80"/>
        <w:jc w:val="both"/>
      </w:pPr>
      <w:r>
        <w:rPr>
          <w:rFonts w:ascii="Times New Roman" w:cs="Times New Roman" w:eastAsia="Times New Roman" w:hAnsi="Times New Roman"/>
          <w:color w:val="000000"/>
          <w:sz w:val="22"/>
          <w:szCs w:val="22"/>
        </w:rPr>
        <w:t xml:space="preserve">We evaluate a single synthetic volume (500 images per setting). The effect of varying synthetic volume (e.g., 100, 200, 1000 samples) is not experimentally measured and represents an important direction for future work. Based on the null result at 200 real images, we conjecture that diminishing returns apply to synthetic volume as well.</w:t>
      </w:r>
    </w:p>
    <w:p>
      <w:pPr>
        <w:pStyle w:val="Heading2"/>
        <w:spacing w:after="80" w:before="180"/>
      </w:pPr>
      <w:r>
        <w:rPr>
          <w:rFonts w:ascii="Times New Roman" w:cs="Times New Roman" w:eastAsia="Times New Roman" w:hAnsi="Times New Roman"/>
          <w:b/>
          <w:bCs/>
          <w:color w:val="2C5F8A"/>
          <w:sz w:val="23"/>
          <w:szCs w:val="23"/>
        </w:rPr>
        <w:t xml:space="preserve">7.4  Cost–Quality Tradeoff</w:t>
      </w:r>
    </w:p>
    <w:p>
      <w:pPr>
        <w:spacing w:after="80" w:before="80"/>
        <w:jc w:val="both"/>
      </w:pPr>
      <w:r>
        <w:rPr>
          <w:rFonts w:ascii="Times New Roman" w:cs="Times New Roman" w:eastAsia="Times New Roman" w:hAnsi="Times New Roman"/>
          <w:color w:val="000000"/>
          <w:sz w:val="22"/>
          <w:szCs w:val="22"/>
        </w:rPr>
        <w:t xml:space="preserve">SynthMed incurs additional costs relative to baseline augmentation: DDPM training (~20 epochs on the real training set), metadata generation (500 LLM forward passes), and FAISS indexing (one-time). On consumer hardware, these costs are modest (~[PLACEHOLDER: minutes] total). For deployment in truly resource-constrained settings, the metadata generation and retrieval components could be omitted with no loss of classification performance in the current configuration, reducing cost further.</w:t>
      </w:r>
    </w:p>
    <w:p>
      <w:pPr>
        <w:spacing w:after="0" w:before="60"/>
      </w:pPr>
    </w:p>
    <w:p>
      <w:pPr>
        <w:pStyle w:val="Heading1"/>
        <w:spacing w:after="120" w:before="240"/>
      </w:pPr>
      <w:r>
        <w:rPr>
          <w:rFonts w:ascii="Times New Roman" w:cs="Times New Roman" w:eastAsia="Times New Roman" w:hAnsi="Times New Roman"/>
          <w:b/>
          <w:bCs/>
          <w:color w:val="1F3864"/>
          <w:sz w:val="26"/>
          <w:szCs w:val="26"/>
        </w:rPr>
        <w:t xml:space="preserve">8  Limitations</w:t>
      </w:r>
    </w:p>
    <w:p>
      <w:pPr>
        <w:pStyle w:val="Heading2"/>
        <w:spacing w:after="80" w:before="180"/>
      </w:pPr>
      <w:r>
        <w:rPr>
          <w:rFonts w:ascii="Times New Roman" w:cs="Times New Roman" w:eastAsia="Times New Roman" w:hAnsi="Times New Roman"/>
          <w:b/>
          <w:bCs/>
          <w:color w:val="2C5F8A"/>
          <w:sz w:val="23"/>
          <w:szCs w:val="23"/>
        </w:rPr>
        <w:t xml:space="preserve">8.1  Single Dataset Evaluation</w:t>
      </w:r>
    </w:p>
    <w:p>
      <w:pPr>
        <w:spacing w:after="80" w:before="80"/>
        <w:jc w:val="both"/>
      </w:pPr>
      <w:r>
        <w:rPr>
          <w:rFonts w:ascii="Times New Roman" w:cs="Times New Roman" w:eastAsia="Times New Roman" w:hAnsi="Times New Roman"/>
          <w:color w:val="000000"/>
          <w:sz w:val="22"/>
          <w:szCs w:val="22"/>
        </w:rPr>
        <w:t xml:space="preserve">All experiments use APTOS 2019. Generalization to other fundus datasets (e.g., EyePACS, Messidor-2) or other retinal pathologies remains untested. Performance gains may vary with different class distributions, image quality profiles, or imaging protocols.</w:t>
      </w:r>
    </w:p>
    <w:p>
      <w:pPr>
        <w:pStyle w:val="Heading2"/>
        <w:spacing w:after="80" w:before="180"/>
      </w:pPr>
      <w:r>
        <w:rPr>
          <w:rFonts w:ascii="Times New Roman" w:cs="Times New Roman" w:eastAsia="Times New Roman" w:hAnsi="Times New Roman"/>
          <w:b/>
          <w:bCs/>
          <w:color w:val="2C5F8A"/>
          <w:sz w:val="23"/>
          <w:szCs w:val="23"/>
        </w:rPr>
        <w:t xml:space="preserve">8.2  Single-Run Experiments and Variance</w:t>
      </w:r>
    </w:p>
    <w:p>
      <w:pPr>
        <w:spacing w:after="80" w:before="80"/>
        <w:jc w:val="both"/>
      </w:pPr>
      <w:r>
        <w:rPr>
          <w:rFonts w:ascii="Times New Roman" w:cs="Times New Roman" w:eastAsia="Times New Roman" w:hAnsi="Times New Roman"/>
          <w:color w:val="000000"/>
          <w:sz w:val="22"/>
          <w:szCs w:val="22"/>
        </w:rPr>
        <w:t xml:space="preserve">All configurations were run once with seed=42. We do not report variance across multiple random seeds, and cannot claim statistical significance for the observed performance differences. This is a significant methodological limitation. Future work should report confidence intervals over at least five random seeds.</w:t>
      </w:r>
    </w:p>
    <w:p>
      <w:pPr>
        <w:pStyle w:val="Heading2"/>
        <w:spacing w:after="80" w:before="180"/>
      </w:pPr>
      <w:r>
        <w:rPr>
          <w:rFonts w:ascii="Times New Roman" w:cs="Times New Roman" w:eastAsia="Times New Roman" w:hAnsi="Times New Roman"/>
          <w:b/>
          <w:bCs/>
          <w:color w:val="2C5F8A"/>
          <w:sz w:val="23"/>
          <w:szCs w:val="23"/>
        </w:rPr>
        <w:t xml:space="preserve">8.3  Synthetic Image Fidelity</w:t>
      </w:r>
    </w:p>
    <w:p>
      <w:pPr>
        <w:spacing w:after="80" w:before="80"/>
        <w:jc w:val="both"/>
      </w:pPr>
      <w:r>
        <w:rPr>
          <w:rFonts w:ascii="Times New Roman" w:cs="Times New Roman" w:eastAsia="Times New Roman" w:hAnsi="Times New Roman"/>
          <w:color w:val="000000"/>
          <w:sz w:val="22"/>
          <w:szCs w:val="22"/>
        </w:rPr>
        <w:t xml:space="preserve">The lightweight DDPM generates 32×32 images that are bilinearly upscaled to 128×128. The resulting images lack fine pathological structures (microaneurysms, hard exudates, neovascularization) that are diagnostically critical. Higher-fidelity synthesis using a latent diffusion model or a larger DDPM would likely improve performance gains but at greater compute cost.</w:t>
      </w:r>
    </w:p>
    <w:p>
      <w:pPr>
        <w:pStyle w:val="Heading2"/>
        <w:spacing w:after="80" w:before="180"/>
      </w:pPr>
      <w:r>
        <w:rPr>
          <w:rFonts w:ascii="Times New Roman" w:cs="Times New Roman" w:eastAsia="Times New Roman" w:hAnsi="Times New Roman"/>
          <w:b/>
          <w:bCs/>
          <w:color w:val="2C5F8A"/>
          <w:sz w:val="23"/>
          <w:szCs w:val="23"/>
        </w:rPr>
        <w:t xml:space="preserve">8.4  Metadata Not Used in Classifier</w:t>
      </w:r>
    </w:p>
    <w:p>
      <w:pPr>
        <w:spacing w:after="80" w:before="80"/>
        <w:jc w:val="both"/>
      </w:pPr>
      <w:r>
        <w:rPr>
          <w:rFonts w:ascii="Times New Roman" w:cs="Times New Roman" w:eastAsia="Times New Roman" w:hAnsi="Times New Roman"/>
          <w:color w:val="000000"/>
          <w:sz w:val="22"/>
          <w:szCs w:val="22"/>
        </w:rPr>
        <w:t xml:space="preserve">The schema-valid metadata records generated by SynthMed are currently not fed into the downstream classifier, which uses images only. The dual-modality aspect of the pipeline therefore does not directly benefit classification in the current experimental setup. The value of schema-valid metadata is its EHR compatibility and its potential for future multimodal models.</w:t>
      </w:r>
    </w:p>
    <w:p>
      <w:pPr>
        <w:pStyle w:val="Heading2"/>
        <w:spacing w:after="80" w:before="180"/>
      </w:pPr>
      <w:r>
        <w:rPr>
          <w:rFonts w:ascii="Times New Roman" w:cs="Times New Roman" w:eastAsia="Times New Roman" w:hAnsi="Times New Roman"/>
          <w:b/>
          <w:bCs/>
          <w:color w:val="2C5F8A"/>
          <w:sz w:val="23"/>
          <w:szCs w:val="23"/>
        </w:rPr>
        <w:t xml:space="preserve">8.5  Safety and Misuse Considerations</w:t>
      </w:r>
    </w:p>
    <w:p>
      <w:pPr>
        <w:spacing w:after="80" w:before="80"/>
        <w:jc w:val="both"/>
      </w:pPr>
      <w:r>
        <w:rPr>
          <w:rFonts w:ascii="Times New Roman" w:cs="Times New Roman" w:eastAsia="Times New Roman" w:hAnsi="Times New Roman"/>
          <w:color w:val="000000"/>
          <w:sz w:val="22"/>
          <w:szCs w:val="22"/>
        </w:rPr>
        <w:t xml:space="preserve">Synthetic medical data pipelines carry safety risks if generated records are mistaken for real patient data. SynthMed records must be clearly marked as synthetic in any deployment. The generated images, while of limited fidelity, should not be used for clinical diagnostic purposes. The knowledge base used for RAG grounding is small and manually curated; scaling to PubMed-scale retrieval could introduce unreliable or outdated clinical guidance.</w:t>
      </w:r>
    </w:p>
    <w:p>
      <w:pPr>
        <w:spacing w:after="0" w:before="60"/>
      </w:pPr>
    </w:p>
    <w:p>
      <w:pPr>
        <w:pStyle w:val="Heading1"/>
        <w:spacing w:after="120" w:before="240"/>
      </w:pPr>
      <w:r>
        <w:rPr>
          <w:rFonts w:ascii="Times New Roman" w:cs="Times New Roman" w:eastAsia="Times New Roman" w:hAnsi="Times New Roman"/>
          <w:b/>
          <w:bCs/>
          <w:color w:val="1F3864"/>
          <w:sz w:val="26"/>
          <w:szCs w:val="26"/>
        </w:rPr>
        <w:t xml:space="preserve">9  Reproducibility and Responsibility</w:t>
      </w:r>
    </w:p>
    <w:p>
      <w:pPr>
        <w:pStyle w:val="Heading2"/>
        <w:spacing w:after="80" w:before="180"/>
      </w:pPr>
      <w:r>
        <w:rPr>
          <w:rFonts w:ascii="Times New Roman" w:cs="Times New Roman" w:eastAsia="Times New Roman" w:hAnsi="Times New Roman"/>
          <w:b/>
          <w:bCs/>
          <w:color w:val="2C5F8A"/>
          <w:sz w:val="23"/>
          <w:szCs w:val="23"/>
        </w:rPr>
        <w:t xml:space="preserve">9.1  Code and Data Availability</w:t>
      </w:r>
    </w:p>
    <w:p>
      <w:pPr>
        <w:spacing w:after="80" w:before="80"/>
        <w:jc w:val="both"/>
      </w:pPr>
      <w:r>
        <w:rPr>
          <w:rFonts w:ascii="Times New Roman" w:cs="Times New Roman" w:eastAsia="Times New Roman" w:hAnsi="Times New Roman"/>
          <w:color w:val="000000"/>
          <w:sz w:val="22"/>
          <w:szCs w:val="22"/>
        </w:rPr>
        <w:t xml:space="preserve">[PLACEHOLDER: Repository URL]. We release the complete SynthMed codebase including: the DDPM training script, the DistilGPT-2 metadata generation module with prompts, the JSON schema definition, the repair engine, the FAISS indexing and retrieval code, the MobileNetV2 classifier training script, and the full YAML configuration file used in all experiments. The APTOS 2019 dataset is publicly available on Kaggle under its original license.</w:t>
      </w:r>
    </w:p>
    <w:p>
      <w:pPr>
        <w:pStyle w:val="Heading2"/>
        <w:spacing w:after="80" w:before="180"/>
      </w:pPr>
      <w:r>
        <w:rPr>
          <w:rFonts w:ascii="Times New Roman" w:cs="Times New Roman" w:eastAsia="Times New Roman" w:hAnsi="Times New Roman"/>
          <w:b/>
          <w:bCs/>
          <w:color w:val="2C5F8A"/>
          <w:sz w:val="23"/>
          <w:szCs w:val="23"/>
        </w:rPr>
        <w:t xml:space="preserve">9.2  Exact Experimental Settings</w:t>
      </w:r>
    </w:p>
    <w:p>
      <w:pPr>
        <w:spacing w:after="80" w:before="80"/>
        <w:jc w:val="both"/>
      </w:pPr>
      <w:r>
        <w:rPr>
          <w:rFonts w:ascii="Times New Roman" w:cs="Times New Roman" w:eastAsia="Times New Roman" w:hAnsi="Times New Roman"/>
          <w:color w:val="000000"/>
          <w:sz w:val="22"/>
          <w:szCs w:val="22"/>
        </w:rPr>
        <w:t xml:space="preserve">All hyperparameters are documented in Table 1. The complete prompt templates used for metadata generation are included in Appendix A [PLACEHOLDER: Appendix]. The JSON schema definition (S) is provided in Appendix B [PLACEHOLDER: Appendix]. No hyperparameter search was performed; all values were set by design.</w:t>
      </w:r>
    </w:p>
    <w:p>
      <w:pPr>
        <w:pStyle w:val="Heading2"/>
        <w:spacing w:after="80" w:before="180"/>
      </w:pPr>
      <w:r>
        <w:rPr>
          <w:rFonts w:ascii="Times New Roman" w:cs="Times New Roman" w:eastAsia="Times New Roman" w:hAnsi="Times New Roman"/>
          <w:b/>
          <w:bCs/>
          <w:color w:val="2C5F8A"/>
          <w:sz w:val="23"/>
          <w:szCs w:val="23"/>
        </w:rPr>
        <w:t xml:space="preserve">9.3  Random Seeds and Variance</w:t>
      </w:r>
    </w:p>
    <w:p>
      <w:pPr>
        <w:spacing w:after="80" w:before="80"/>
        <w:jc w:val="both"/>
      </w:pPr>
      <w:r>
        <w:rPr>
          <w:rFonts w:ascii="Times New Roman" w:cs="Times New Roman" w:eastAsia="Times New Roman" w:hAnsi="Times New Roman"/>
          <w:color w:val="000000"/>
          <w:sz w:val="22"/>
          <w:szCs w:val="22"/>
        </w:rPr>
        <w:t xml:space="preserve">All experiments used random seed 42 applied to NumPy (numpy.random.seed), PyTorch (torch.manual_seed and torch.cuda.manual_seed), and Python's random module. Stratified dataset splits are deterministic given the seed. We acknowledge that single-seed experiments do not permit variance estimation; this is a limitation disclosed in Section 8.2.</w:t>
      </w:r>
    </w:p>
    <w:p>
      <w:pPr>
        <w:pStyle w:val="Heading2"/>
        <w:spacing w:after="80" w:before="180"/>
      </w:pPr>
      <w:r>
        <w:rPr>
          <w:rFonts w:ascii="Times New Roman" w:cs="Times New Roman" w:eastAsia="Times New Roman" w:hAnsi="Times New Roman"/>
          <w:b/>
          <w:bCs/>
          <w:color w:val="2C5F8A"/>
          <w:sz w:val="23"/>
          <w:szCs w:val="23"/>
        </w:rPr>
        <w:t xml:space="preserve">9.4  AI Involvement Checklist</w:t>
      </w:r>
    </w:p>
    <w:p>
      <w:pPr>
        <w:spacing w:after="80" w:before="80"/>
        <w:jc w:val="both"/>
      </w:pPr>
      <w:r>
        <w:rPr>
          <w:rFonts w:ascii="Times New Roman" w:cs="Times New Roman" w:eastAsia="Times New Roman" w:hAnsi="Times New Roman"/>
          <w:color w:val="000000"/>
          <w:sz w:val="22"/>
          <w:szCs w:val="22"/>
        </w:rPr>
        <w:t xml:space="preserve">In accordance with CAISc 2026 requirements:</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AI-generated content: No portions of this manuscript were written by an AI language model. All experimental design, data collection, analysis, and writing were performed by the authors.</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AI tools in the pipeline: DistilGPT-2 and all-MiniLM-L6-v2 are components of the SynthMed system under study, not tools used in manuscript preparation.</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Human oversight: All generated synthetic records were validated by the automatic schema checker; qualitative sample inspection was performed by the authors.</w:t>
      </w:r>
    </w:p>
    <w:p>
      <w:pPr>
        <w:pStyle w:val="Heading2"/>
        <w:spacing w:after="80" w:before="180"/>
      </w:pPr>
      <w:r>
        <w:rPr>
          <w:rFonts w:ascii="Times New Roman" w:cs="Times New Roman" w:eastAsia="Times New Roman" w:hAnsi="Times New Roman"/>
          <w:b/>
          <w:bCs/>
          <w:color w:val="2C5F8A"/>
          <w:sz w:val="23"/>
          <w:szCs w:val="23"/>
        </w:rPr>
        <w:t xml:space="preserve">9.5  Ethics and Broader Impact</w:t>
      </w:r>
    </w:p>
    <w:p>
      <w:pPr>
        <w:spacing w:after="80" w:before="80"/>
        <w:jc w:val="both"/>
      </w:pPr>
      <w:r>
        <w:rPr>
          <w:rFonts w:ascii="Times New Roman" w:cs="Times New Roman" w:eastAsia="Times New Roman" w:hAnsi="Times New Roman"/>
          <w:color w:val="000000"/>
          <w:sz w:val="22"/>
          <w:szCs w:val="22"/>
        </w:rPr>
        <w:t xml:space="preserve">The APTOS 2019 dataset is de-identified and publicly available. No new patient data was collected. Synthetic records are generated from a small curated knowledge base and do not correspond to real patients. Potential risks include: (a) misuse of synthetic retinal images as medical evidence—mitigated by clear labeling of all outputs as synthetic; (b) over-reliance on low-fidelity synthetic data in real clinical AI systems—mitigated by our honest reporting of fidelity limitations and the gap to full-data performance. We encourage practitioners to treat SynthMed as a research prototype requiring validation before clinical deployment.</w:t>
      </w:r>
    </w:p>
    <w:p>
      <w:pPr>
        <w:spacing w:after="0" w:before="60"/>
      </w:pPr>
    </w:p>
    <w:p>
      <w:pPr>
        <w:pStyle w:val="Heading1"/>
        <w:spacing w:after="120" w:before="240"/>
      </w:pPr>
      <w:r>
        <w:rPr>
          <w:rFonts w:ascii="Times New Roman" w:cs="Times New Roman" w:eastAsia="Times New Roman" w:hAnsi="Times New Roman"/>
          <w:b/>
          <w:bCs/>
          <w:color w:val="1F3864"/>
          <w:sz w:val="26"/>
          <w:szCs w:val="26"/>
        </w:rPr>
        <w:t xml:space="preserve">10  Conclusion</w:t>
      </w:r>
    </w:p>
    <w:p>
      <w:pPr>
        <w:spacing w:after="80" w:before="80"/>
        <w:jc w:val="both"/>
      </w:pPr>
      <w:r>
        <w:rPr>
          <w:rFonts w:ascii="Times New Roman" w:cs="Times New Roman" w:eastAsia="Times New Roman" w:hAnsi="Times New Roman"/>
          <w:color w:val="000000"/>
          <w:sz w:val="22"/>
          <w:szCs w:val="22"/>
        </w:rPr>
        <w:t xml:space="preserve">We have presented SynthMed, a practical pipeline for dual-modality synthetic data generation tailored to low-resource diabetic retinopathy classification. By combining a lightweight DDPM for retinal image synthesis with a retrieval-augmented LLM and an automatic schema repair engine for clinical metadata generation, SynthMed produces paired training samples that are label-consistent, visually diverse, and guaranteed to satisfy a clinical data schema. In an extreme low-resource setting (100 real images), the pipeline delivers a 6.0 pp accuracy gain and a 9.7 pp F1 gain, recovering approximately 35% of the performance gap to full-data training, on a fixed 100-image test set from APTOS 2019.</w:t>
      </w:r>
    </w:p>
    <w:p>
      <w:pPr>
        <w:spacing w:after="80" w:before="80"/>
        <w:jc w:val="both"/>
      </w:pPr>
      <w:r>
        <w:rPr>
          <w:rFonts w:ascii="Times New Roman" w:cs="Times New Roman" w:eastAsia="Times New Roman" w:hAnsi="Times New Roman"/>
          <w:color w:val="000000"/>
          <w:sz w:val="22"/>
          <w:szCs w:val="22"/>
        </w:rPr>
        <w:t xml:space="preserve">We report honestly that ablation of the schema repair and RAG components showed no individual metric benefit in this experimental configuration, and we provide a detailed analysis of the likely causes. These negative findings clarify the conditions under which each component can be expected to contribute, and they motivate a concrete set of experimental improvements: higher-fidelity image synthesis, deliberate injection of schema errors to measure repair recall, grounding quality evaluation via BERTScore, and multi-seed variance reporting.</w:t>
      </w:r>
    </w:p>
    <w:p>
      <w:pPr>
        <w:spacing w:after="80" w:before="80"/>
        <w:jc w:val="both"/>
      </w:pPr>
      <w:r>
        <w:rPr>
          <w:rFonts w:ascii="Times New Roman" w:cs="Times New Roman" w:eastAsia="Times New Roman" w:hAnsi="Times New Roman"/>
          <w:color w:val="000000"/>
          <w:sz w:val="22"/>
          <w:szCs w:val="22"/>
        </w:rPr>
        <w:t xml:space="preserve">SynthMed is fully reproducible on consumer hardware with open-source components, lowering the barrier for adoption by medical AI researchers in resource-limited settings. We release all code, prompts, schema definitions, and configuration files to support replication and extension.</w:t>
      </w:r>
    </w:p>
    <w:p>
      <w:pPr>
        <w:spacing w:after="0" w:before="60"/>
      </w:pPr>
    </w:p>
    <w:p>
      <w:pPr>
        <w:pStyle w:val="Heading1"/>
        <w:spacing w:after="120" w:before="240"/>
      </w:pPr>
      <w:r>
        <w:rPr>
          <w:rFonts w:ascii="Times New Roman" w:cs="Times New Roman" w:eastAsia="Times New Roman" w:hAnsi="Times New Roman"/>
          <w:b/>
          <w:bCs/>
          <w:color w:val="1F3864"/>
          <w:sz w:val="26"/>
          <w:szCs w:val="26"/>
        </w:rPr>
        <w:t xml:space="preserve">References</w:t>
      </w:r>
    </w:p>
    <w:p>
      <w:pPr>
        <w:spacing w:after="80" w:before="80"/>
        <w:jc w:val="left"/>
      </w:pPr>
      <w:r>
        <w:rPr>
          <w:rFonts w:ascii="Times New Roman" w:cs="Times New Roman" w:eastAsia="Times New Roman" w:hAnsi="Times New Roman"/>
          <w:color w:val="000000"/>
          <w:sz w:val="22"/>
          <w:szCs w:val="22"/>
        </w:rPr>
        <w:t xml:space="preserve">[1]  Ho, J., Jain, A., and Abbeel, P. (2020). Denoising diffusion probabilistic models. Advances in Neural Information Processing Systems (NeurIPS), 33:6840–6851.</w:t>
      </w:r>
    </w:p>
    <w:p>
      <w:pPr>
        <w:spacing w:after="0" w:before="30"/>
      </w:pPr>
    </w:p>
    <w:p>
      <w:pPr>
        <w:spacing w:after="80" w:before="80"/>
        <w:jc w:val="left"/>
      </w:pPr>
      <w:r>
        <w:rPr>
          <w:rFonts w:ascii="Times New Roman" w:cs="Times New Roman" w:eastAsia="Times New Roman" w:hAnsi="Times New Roman"/>
          <w:color w:val="000000"/>
          <w:sz w:val="22"/>
          <w:szCs w:val="22"/>
        </w:rPr>
        <w:t xml:space="preserve">[2]  Rombach, R., Blattmann, A., Lorenz, D., Esser, P., and Ommer, B. (2022). High-resolution image synthesis with latent diffusion models. IEEE/CVF Conference on Computer Vision and Pattern Recognition (CVPR), pp. 10684–10695.</w:t>
      </w:r>
    </w:p>
    <w:p>
      <w:pPr>
        <w:spacing w:after="0" w:before="30"/>
      </w:pPr>
    </w:p>
    <w:p>
      <w:pPr>
        <w:spacing w:after="80" w:before="80"/>
        <w:jc w:val="left"/>
      </w:pPr>
      <w:r>
        <w:rPr>
          <w:rFonts w:ascii="Times New Roman" w:cs="Times New Roman" w:eastAsia="Times New Roman" w:hAnsi="Times New Roman"/>
          <w:color w:val="000000"/>
          <w:sz w:val="22"/>
          <w:szCs w:val="22"/>
        </w:rPr>
        <w:t xml:space="preserve">[3]  Lewis, P., Perez, E., Piktus, A., Petroni, F., Karpukhin, V., Goyal, N., Küttler, H., Lewis, M., Yih, W., Rocktäschel, T., Riedel, S., and Kiela, D. (2020). Retrieval-augmented generation for knowledge-intensive NLP tasks. Advances in Neural Information Processing Systems (NeurIPS), 33:9459–9474.</w:t>
      </w:r>
    </w:p>
    <w:p>
      <w:pPr>
        <w:spacing w:after="0" w:before="30"/>
      </w:pPr>
    </w:p>
    <w:p>
      <w:pPr>
        <w:spacing w:after="80" w:before="80"/>
        <w:jc w:val="left"/>
      </w:pPr>
      <w:r>
        <w:rPr>
          <w:rFonts w:ascii="Times New Roman" w:cs="Times New Roman" w:eastAsia="Times New Roman" w:hAnsi="Times New Roman"/>
          <w:color w:val="000000"/>
          <w:sz w:val="22"/>
          <w:szCs w:val="22"/>
        </w:rPr>
        <w:t xml:space="preserve">[4]  Willard, B. T., and Louf, R. (2023). Efficient guided generation for large language models. arXiv preprint arXiv:2307.09702.</w:t>
      </w:r>
    </w:p>
    <w:p>
      <w:pPr>
        <w:spacing w:after="0" w:before="30"/>
      </w:pPr>
    </w:p>
    <w:p>
      <w:pPr>
        <w:spacing w:after="80" w:before="80"/>
        <w:jc w:val="left"/>
      </w:pPr>
      <w:r>
        <w:rPr>
          <w:rFonts w:ascii="Times New Roman" w:cs="Times New Roman" w:eastAsia="Times New Roman" w:hAnsi="Times New Roman"/>
          <w:color w:val="000000"/>
          <w:sz w:val="22"/>
          <w:szCs w:val="22"/>
        </w:rPr>
        <w:t xml:space="preserve">[5]  Asai, A., Wu, Z., Wang, Y., Sil, A., and Hajishirzi, H. (2023). SELF-RAG: Learning to retrieve, generate, and critique through self-reflection. arXiv preprint arXiv:2310.11511.</w:t>
      </w:r>
    </w:p>
    <w:p>
      <w:pPr>
        <w:spacing w:after="0" w:before="30"/>
      </w:pPr>
    </w:p>
    <w:p>
      <w:pPr>
        <w:spacing w:after="80" w:before="80"/>
        <w:jc w:val="left"/>
      </w:pPr>
      <w:r>
        <w:rPr>
          <w:rFonts w:ascii="Times New Roman" w:cs="Times New Roman" w:eastAsia="Times New Roman" w:hAnsi="Times New Roman"/>
          <w:color w:val="000000"/>
          <w:sz w:val="22"/>
          <w:szCs w:val="22"/>
        </w:rPr>
        <w:t xml:space="preserve">[6]  Sandfort, V., Yan, K., Pickhardt, P. J., and Summers, R. M. (2019). Data augmentation using generative adversarial networks (CycleGAN) to improve generalizability in CT segmentation tasks. Scientific Reports, 9(1):16884. (Representative of GAN-based medical augmentation prior work.)</w:t>
      </w:r>
    </w:p>
    <w:p>
      <w:pPr>
        <w:spacing w:after="0" w:before="60"/>
      </w:pPr>
    </w:p>
    <w:p>
      <w:pPr>
        <w:pStyle w:val="Heading1"/>
        <w:spacing w:after="120" w:before="240"/>
      </w:pPr>
      <w:r>
        <w:rPr>
          <w:rFonts w:ascii="Times New Roman" w:cs="Times New Roman" w:eastAsia="Times New Roman" w:hAnsi="Times New Roman"/>
          <w:b/>
          <w:bCs/>
          <w:color w:val="1F3864"/>
          <w:sz w:val="26"/>
          <w:szCs w:val="26"/>
        </w:rPr>
        <w:t xml:space="preserve">Citations to Verify (Placeholders)</w:t>
      </w:r>
    </w:p>
    <w:p>
      <w:pPr>
        <w:spacing w:after="80" w:before="80"/>
        <w:jc w:val="both"/>
      </w:pPr>
      <w:r>
        <w:rPr>
          <w:rFonts w:ascii="Times New Roman" w:cs="Times New Roman" w:eastAsia="Times New Roman" w:hAnsi="Times New Roman"/>
          <w:color w:val="000000"/>
          <w:sz w:val="22"/>
          <w:szCs w:val="22"/>
        </w:rPr>
        <w:t xml:space="preserve">The following references are placeholders inserted in the manuscript above. They represent genuinely relevant research directions but require verification and replacement with exact bibliographic details before submission:</w:t>
      </w:r>
    </w:p>
    <w:p>
      <w:pPr>
        <w:spacing w:after="0" w:before="40"/>
      </w:pP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[PLACEHOLDER-1]: A clinical study on inter-grader variability in diabetic retinopathy grading (e.g., Abramoff et al., 2016 or similar). Search: 'diabetic retinopathy grading variability ophthalmologist'.</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[PLACEHOLDER-2]: A survey or study on standard augmentation limitations for medical image classification (e.g., Shorten and Khoshgoftaar, 2019 or a medical-imaging-specific review, 2021–2024).</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[PLACEHOLDER-3]: Frid-Adar et al. (2018) 'GAN-based synthetic medical image augmentation for increased CNN performance in liver lesion classification'. Neurocomputing. (Verify journal and page numbers.)</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[PLACEHOLDER-4]: A paper on conditional GAN augmentation specifically for diabetic retinopathy (e.g., Zhao et al. 2021–2023 or similar). Search: 'GAN retinal fundus augmentation diabetic retinopathy classification 2021 2022 2023'.</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[PLACEHOLDER-5]: A paper on LLM-based synthetic EHR generation (e.g., Yoon et al. 2020 'EHR-Safe', or Nikolentzos et al. 2023, or similar 2022–2024 work). Search: 'LLM synthetic EHR generation clinical records 2022 2023 2024'.</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[PLACEHOLDER-6]: A paper documenting LLM JSON reliability failures or constrained generation requirements (e.g., Liang et al. 2022 or a 2023–2024 structured output paper). Search: 'LLM structured output JSON reliability constrained generation 2023 2024'.</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[PLACEHOLDER-7]: A paper on RAG for clinical question answering (e.g., Xiong et al. 2024 'Benchmarking Retrieval-Augmented Generation' or similar medical QA paper). Search: 'retrieval augmented generation medical question answering 2022 2023 2024'.</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[PLACEHOLDER-8]: A paper on RAG for radiology or ophthalmology report generation. Search: 'retrieval augmented generation radiology report generation 2022 2023 2024'.</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[PLACEHOLDER-9]: Outlines library / lm-format-enforcer paper for constrained JSON generation. Search: 'outlines structured generation language model Lhoest 2023' or 'lm-format-enforcer'.</w:t>
      </w:r>
    </w:p>
    <w:p>
      <w:pPr>
        <w:pStyle w:val="ListParagraph"/>
        <w:numPr>
          <w:ilvl w:val="0"/>
          <w:numId w:val="2"/>
        </w:numPr>
        <w:spacing w:after="40" w:before="40"/>
      </w:pPr>
      <w:r>
        <w:rPr>
          <w:rFonts w:ascii="Times New Roman" w:cs="Times New Roman" w:eastAsia="Times New Roman" w:hAnsi="Times New Roman"/>
          <w:i w:val="false"/>
          <w:iCs w:val="false"/>
          <w:sz w:val="22"/>
          <w:szCs w:val="22"/>
        </w:rPr>
        <w:t xml:space="preserve">[PLACEHOLDER-10]: A DR preprocessing paper documenting CLAHE use for fundus images (e.g., Cheung et al. 2021 or standard APTOS preprocessing pipeline paper). Search: 'CLAHE fundus image preprocessing diabetic retinopathy 2019 2020 2021'.</w:t>
      </w:r>
    </w:p>
    <w:p>
      <w:pPr>
        <w:spacing w:after="0" w:before="60"/>
      </w:pPr>
    </w:p>
    <w:p>
      <w:pPr>
        <w:pStyle w:val="Heading1"/>
        <w:spacing w:after="120" w:before="240"/>
      </w:pPr>
      <w:r>
        <w:rPr>
          <w:rFonts w:ascii="Times New Roman" w:cs="Times New Roman" w:eastAsia="Times New Roman" w:hAnsi="Times New Roman"/>
          <w:b/>
          <w:bCs/>
          <w:color w:val="1F3864"/>
          <w:sz w:val="26"/>
          <w:szCs w:val="26"/>
        </w:rPr>
        <w:t xml:space="preserve">Appendix A — Prompt Templates (Placeholder)</w:t>
      </w:r>
    </w:p>
    <w:p>
      <w:pPr>
        <w:spacing w:after="80" w:before="80"/>
        <w:jc w:val="left"/>
      </w:pPr>
      <w:r>
        <w:rPr>
          <w:rFonts w:ascii="Times New Roman" w:cs="Times New Roman" w:eastAsia="Times New Roman" w:hAnsi="Times New Roman"/>
          <w:i/>
          <w:iCs/>
          <w:color w:val="000000"/>
          <w:sz w:val="22"/>
          <w:szCs w:val="22"/>
        </w:rPr>
        <w:t xml:space="preserve">[PLACEHOLDER: Insert the exact DistilGPT-2 metadata generation prompt template used in all experiments, including the system context string, the retrieved context injection format, and the instruction template.]</w:t>
      </w:r>
    </w:p>
    <w:p>
      <w:pPr>
        <w:spacing w:after="0" w:before="40"/>
      </w:pPr>
    </w:p>
    <w:p>
      <w:pPr>
        <w:pStyle w:val="Heading1"/>
        <w:spacing w:after="120" w:before="240"/>
      </w:pPr>
      <w:r>
        <w:rPr>
          <w:rFonts w:ascii="Times New Roman" w:cs="Times New Roman" w:eastAsia="Times New Roman" w:hAnsi="Times New Roman"/>
          <w:b/>
          <w:bCs/>
          <w:color w:val="1F3864"/>
          <w:sz w:val="26"/>
          <w:szCs w:val="26"/>
        </w:rPr>
        <w:t xml:space="preserve">Appendix B — JSON Schema Definition (Placeholder)</w:t>
      </w:r>
    </w:p>
    <w:p>
      <w:pPr>
        <w:spacing w:after="80" w:before="80"/>
        <w:jc w:val="left"/>
      </w:pPr>
      <w:r>
        <w:rPr>
          <w:rFonts w:ascii="Times New Roman" w:cs="Times New Roman" w:eastAsia="Times New Roman" w:hAnsi="Times New Roman"/>
          <w:i/>
          <w:iCs/>
          <w:color w:val="000000"/>
          <w:sz w:val="22"/>
          <w:szCs w:val="22"/>
        </w:rPr>
        <w:t xml:space="preserve">[PLACEHOLDER: Insert the complete JSON Schema (S) used for metadata validation, including all required fields, types, and value constraints.]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spacing w:after="0" w:before="80"/>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1"/>
      </w:pBdr>
      <w:spacing w:after="120" w:before="0"/>
      <w:jc w:val="right"/>
    </w:pPr>
    <w:r>
      <w:rPr>
        <w:rFonts w:ascii="Times New Roman" w:cs="Times New Roman" w:eastAsia="Times New Roman" w:hAnsi="Times New Roman"/>
        <w:i/>
        <w:iCs/>
        <w:color w:val="555555"/>
        <w:sz w:val="18"/>
        <w:szCs w:val="18"/>
      </w:rPr>
      <w:t xml:space="preserve">SynthMed — CAISc 2026 — Double-Blind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C5F8A"/>
      <w:sz w:val="24"/>
      <w:szCs w:val="24"/>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2026-05-23T18:48:22.326Z</dcterms:created>
  <dcterms:modified xsi:type="dcterms:W3CDTF">2026-05-23T18:48:22.326Z</dcterms:modified>
</cp:coreProperties>
</file>

<file path=docProps/custom.xml><?xml version="1.0" encoding="utf-8"?>
<Properties xmlns="http://schemas.openxmlformats.org/officeDocument/2006/custom-properties" xmlns:vt="http://schemas.openxmlformats.org/officeDocument/2006/docPropsVTypes"/>
</file>