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BFF"/>
          <w:sz w:val="40"/>
          <w:szCs w:val="40"/>
        </w:rPr>
        <w:t xml:space="preserve">MARQUEIVER</w:t>
      </w:r>
    </w:p>
    <w:p>
      <w:pPr>
        <w:spacing w:after="20"/>
      </w:pPr>
      <w:r>
        <w:rPr>
          <w:b/>
          <w:bCs/>
          <w:color w:val="1A1A2E"/>
          <w:sz w:val="26"/>
          <w:szCs w:val="26"/>
        </w:rPr>
        <w:t xml:space="preserve">Open Questions, Queries &amp; Assumptions</w:t>
      </w:r>
    </w:p>
    <w:p>
      <w:pPr>
        <w:spacing w:after="40"/>
      </w:pPr>
      <w:r>
        <w:rPr>
          <w:i/>
          <w:iCs/>
          <w:color w:val="6B7280"/>
          <w:sz w:val="20"/>
          <w:szCs w:val="20"/>
        </w:rPr>
        <w:t xml:space="preserve">To confirm with the client before / during the build</w:t>
      </w:r>
    </w:p>
    <w:p>
      <w:pPr>
        <w:pBdr>
          <w:bottom w:val="single" w:color="2E5BFF" w:sz="12" w:space="6"/>
        </w:pBdr>
        <w:spacing w:after="200"/>
      </w:pPr>
    </w:p>
    <w:p>
      <w:pPr>
        <w:spacing w:after="120"/>
      </w:pPr>
      <w:r>
        <w:rPr>
          <w:color w:val="6B7280"/>
        </w:rPr>
        <w:t xml:space="preserve">This document accompanies the MERN backend build. Everything below is either an open question we need a decision on, or an assumption we have already coded to and want you to confirm. Where we had to move to keep momentum, we picked the most reasonable default and flagged it here rather than blocking. Nothing here changes the fixed scope of the proposal — it just removes ambiguity before it becomes rework.</w:t>
      </w:r>
    </w:p>
    <w:p>
      <w:pPr>
        <w:pStyle w:val="Heading1"/>
        <w:spacing w:after="120" w:before="260"/>
      </w:pPr>
      <w:r>
        <w:rPr>
          <w:color w:val="1A1A2E"/>
        </w:rPr>
        <w:t xml:space="preserve">1. Payments &amp; Escrow</w:t>
      </w:r>
    </w:p>
    <w:p>
      <w:pPr>
        <w:spacing w:after="40" w:before="180"/>
      </w:pPr>
      <w:r>
        <w:rPr>
          <w:b/>
          <w:bCs/>
          <w:color w:val="2E5BFF"/>
        </w:rPr>
        <w:t xml:space="preserve">Q1. </w:t>
      </w:r>
      <w:r>
        <w:rPr>
          <w:b/>
          <w:bCs/>
        </w:rPr>
        <w:t xml:space="preserve">Can you confirm the Razorpay account setup and which payout rail we use — RazorpayX or Route?</w:t>
      </w:r>
    </w:p>
    <w:p>
      <w:pPr>
        <w:spacing w:after="40"/>
      </w:pPr>
      <w:r>
        <w:rPr>
          <w:i/>
          <w:iCs/>
          <w:color w:val="6B7280"/>
        </w:rPr>
        <w:t xml:space="preserve">Why it matters: </w:t>
      </w:r>
      <w:r>
        <w:rPr>
          <w:i/>
          <w:iCs/>
          <w:color w:val="6B7280"/>
        </w:rPr>
        <w:t xml:space="preserve">Collection and payout are two different Razorpay products with separate onboarding, KYC and go-live timelines. Payouts to creators need one of them enabled and fully KYC-verified.</w:t>
      </w:r>
    </w:p>
    <w:p>
      <w:pPr>
        <w:spacing w:after="140"/>
      </w:pPr>
      <w:r>
        <w:rPr>
          <w:b/>
          <w:bCs/>
          <w:color w:val="1A1A2E"/>
        </w:rPr>
        <w:t xml:space="preserve">Our working assumption: </w:t>
      </w:r>
      <w:r>
        <w:t xml:space="preserve">Razorpay for collection + RazorpayX/Route for payouts. The escrow service is wired against this; live keys drop into env with no code change.</w:t>
      </w:r>
    </w:p>
    <w:p>
      <w:pPr>
        <w:spacing w:after="40" w:before="180"/>
      </w:pPr>
      <w:r>
        <w:rPr>
          <w:b/>
          <w:bCs/>
          <w:color w:val="2E5BFF"/>
        </w:rPr>
        <w:t xml:space="preserve">Q2. </w:t>
      </w:r>
      <w:r>
        <w:rPr>
          <w:b/>
          <w:bCs/>
        </w:rPr>
        <w:t xml:space="preserve">What is the platform commission, and is it deducted at escrow funding or at release?</w:t>
      </w:r>
    </w:p>
    <w:p>
      <w:pPr>
        <w:spacing w:after="40"/>
      </w:pPr>
      <w:r>
        <w:rPr>
          <w:i/>
          <w:iCs/>
          <w:color w:val="6B7280"/>
        </w:rPr>
        <w:t xml:space="preserve">Why it matters: </w:t>
      </w:r>
      <w:r>
        <w:rPr>
          <w:i/>
          <w:iCs/>
          <w:color w:val="6B7280"/>
        </w:rPr>
        <w:t xml:space="preserve">It changes the ledger math and what the creator sees as "earnings". We record a fee field per transaction either way.</w:t>
      </w:r>
    </w:p>
    <w:p>
      <w:pPr>
        <w:spacing w:after="140"/>
      </w:pPr>
      <w:r>
        <w:rPr>
          <w:b/>
          <w:bCs/>
          <w:color w:val="1A1A2E"/>
        </w:rPr>
        <w:t xml:space="preserve">Our working assumption: </w:t>
      </w:r>
      <w:r>
        <w:t xml:space="preserve">Commission is deducted at release (creator sees gross minus fee). Percentage TBD by you — currently 0% until you set it.</w:t>
      </w:r>
    </w:p>
    <w:p>
      <w:pPr>
        <w:spacing w:after="40" w:before="180"/>
      </w:pPr>
      <w:r>
        <w:rPr>
          <w:b/>
          <w:bCs/>
          <w:color w:val="2E5BFF"/>
        </w:rPr>
        <w:t xml:space="preserve">Q3. </w:t>
      </w:r>
      <w:r>
        <w:rPr>
          <w:b/>
          <w:bCs/>
        </w:rPr>
        <w:t xml:space="preserve">On a dispute, who can force a refund or release, and is there an approval threshold?</w:t>
      </w:r>
    </w:p>
    <w:p>
      <w:pPr>
        <w:spacing w:after="40"/>
      </w:pPr>
      <w:r>
        <w:rPr>
          <w:i/>
          <w:iCs/>
          <w:color w:val="6B7280"/>
        </w:rPr>
        <w:t xml:space="preserve">Why it matters: </w:t>
      </w:r>
      <w:r>
        <w:rPr>
          <w:i/>
          <w:iCs/>
          <w:color w:val="6B7280"/>
        </w:rPr>
        <w:t xml:space="preserve">This is real money moving on an admin's click. We gate it, audit it, and can add a second-approver step if you want one.</w:t>
      </w:r>
    </w:p>
    <w:p>
      <w:pPr>
        <w:spacing w:after="140"/>
      </w:pPr>
      <w:r>
        <w:rPr>
          <w:b/>
          <w:bCs/>
          <w:color w:val="1A1A2E"/>
        </w:rPr>
        <w:t xml:space="preserve">Our working assumption: </w:t>
      </w:r>
      <w:r>
        <w:t xml:space="preserve">Finance-level (or super) admins can force refund/release; every action is written to an immutable audit log. No second-approver step yet.</w:t>
      </w:r>
    </w:p>
    <w:p>
      <w:pPr>
        <w:spacing w:after="40" w:before="180"/>
      </w:pPr>
      <w:r>
        <w:rPr>
          <w:b/>
          <w:bCs/>
          <w:color w:val="2E5BFF"/>
        </w:rPr>
        <w:t xml:space="preserve">Q4. </w:t>
      </w:r>
      <w:r>
        <w:rPr>
          <w:b/>
          <w:bCs/>
        </w:rPr>
        <w:t xml:space="preserve">Do you need GST invoices generated per transaction, and under whose GSTIN?</w:t>
      </w:r>
    </w:p>
    <w:p>
      <w:pPr>
        <w:spacing w:after="40"/>
      </w:pPr>
      <w:r>
        <w:rPr>
          <w:i/>
          <w:iCs/>
          <w:color w:val="6B7280"/>
        </w:rPr>
        <w:t xml:space="preserve">Why it matters: </w:t>
      </w:r>
      <w:r>
        <w:rPr>
          <w:i/>
          <w:iCs/>
          <w:color w:val="6B7280"/>
        </w:rPr>
        <w:t xml:space="preserve">Indian marketplace payouts usually need tax invoices. This is a defined add-on, not in the current build.</w:t>
      </w:r>
    </w:p>
    <w:p>
      <w:pPr>
        <w:spacing w:after="140"/>
      </w:pPr>
      <w:r>
        <w:rPr>
          <w:b/>
          <w:bCs/>
          <w:color w:val="1A1A2E"/>
        </w:rPr>
        <w:t xml:space="preserve">Our working assumption: </w:t>
      </w:r>
      <w:r>
        <w:t xml:space="preserve">No automated GST invoicing in v1. Transaction data captured is sufficient to generate them later.</w:t>
      </w:r>
    </w:p>
    <w:p>
      <w:pPr>
        <w:pStyle w:val="Heading1"/>
        <w:spacing w:after="120" w:before="260"/>
      </w:pPr>
      <w:r>
        <w:rPr>
          <w:color w:val="1A1A2E"/>
        </w:rPr>
        <w:t xml:space="preserve">2. Integrations &amp; External Approvals</w:t>
      </w:r>
    </w:p>
    <w:p>
      <w:pPr>
        <w:spacing w:after="40" w:before="180"/>
      </w:pPr>
      <w:r>
        <w:rPr>
          <w:b/>
          <w:bCs/>
          <w:color w:val="2E5BFF"/>
        </w:rPr>
        <w:t xml:space="preserve">Q5. </w:t>
      </w:r>
      <w:r>
        <w:rPr>
          <w:b/>
          <w:bCs/>
        </w:rPr>
        <w:t xml:space="preserve">Has the Meta App Review process been started, and under which Business Manager?</w:t>
      </w:r>
    </w:p>
    <w:p>
      <w:pPr>
        <w:spacing w:after="40"/>
      </w:pPr>
      <w:r>
        <w:rPr>
          <w:i/>
          <w:iCs/>
          <w:color w:val="6B7280"/>
        </w:rPr>
        <w:t xml:space="preserve">Why it matters: </w:t>
      </w:r>
      <w:r>
        <w:rPr>
          <w:i/>
          <w:iCs/>
          <w:color w:val="6B7280"/>
        </w:rPr>
        <w:t xml:space="preserve">Real Instagram/YouTube stats need Meta App Review — a 1–4+ week external process outside our control. It is the single biggest schedule risk and must run in parallel from day one.</w:t>
      </w:r>
    </w:p>
    <w:p>
      <w:pPr>
        <w:spacing w:after="140"/>
      </w:pPr>
      <w:r>
        <w:rPr>
          <w:b/>
          <w:bCs/>
          <w:color w:val="1A1A2E"/>
        </w:rPr>
        <w:t xml:space="preserve">Our working assumption: </w:t>
      </w:r>
      <w:r>
        <w:t xml:space="preserve">Not yet started. Until it clears, social stats are self-reported and clearly flagged as such; the live data path is built and dormant.</w:t>
      </w:r>
    </w:p>
    <w:p>
      <w:pPr>
        <w:spacing w:after="40" w:before="180"/>
      </w:pPr>
      <w:r>
        <w:rPr>
          <w:b/>
          <w:bCs/>
          <w:color w:val="2E5BFF"/>
        </w:rPr>
        <w:t xml:space="preserve">Q6. </w:t>
      </w:r>
      <w:r>
        <w:rPr>
          <w:b/>
          <w:bCs/>
        </w:rPr>
        <w:t xml:space="preserve">Which email and SMS sending domains/numbers should we verify, and do you have DNS access?</w:t>
      </w:r>
    </w:p>
    <w:p>
      <w:pPr>
        <w:spacing w:after="40"/>
      </w:pPr>
      <w:r>
        <w:rPr>
          <w:i/>
          <w:iCs/>
          <w:color w:val="6B7280"/>
        </w:rPr>
        <w:t xml:space="preserve">Why it matters: </w:t>
      </w:r>
      <w:r>
        <w:rPr>
          <w:i/>
          <w:iCs/>
          <w:color w:val="6B7280"/>
        </w:rPr>
        <w:t xml:space="preserve">Transactional email and OTP SMS both need verified sender identities on a domain you control, or they land in spam / never send. We hit exactly this trap on the previous stack.</w:t>
      </w:r>
    </w:p>
    <w:p>
      <w:pPr>
        <w:spacing w:after="140"/>
      </w:pPr>
      <w:r>
        <w:rPr>
          <w:b/>
          <w:bCs/>
          <w:color w:val="1A1A2E"/>
        </w:rPr>
        <w:t xml:space="preserve">Our working assumption: </w:t>
      </w:r>
      <w:r>
        <w:t xml:space="preserve">We will send from a subdomain (e.g. no-reply@mg.marqueiver.com). We need DNS records added by you; until then everything runs in mock mode.</w:t>
      </w:r>
    </w:p>
    <w:p>
      <w:pPr>
        <w:spacing w:after="40" w:before="180"/>
      </w:pPr>
      <w:r>
        <w:rPr>
          <w:b/>
          <w:bCs/>
          <w:color w:val="2E5BFF"/>
        </w:rPr>
        <w:t xml:space="preserve">Q7. </w:t>
      </w:r>
      <w:r>
        <w:rPr>
          <w:b/>
          <w:bCs/>
        </w:rPr>
        <w:t xml:space="preserve">Preferred AI provider for profile analysis and compatibility — OpenAI or Gemini — and who funds the API usage?</w:t>
      </w:r>
    </w:p>
    <w:p>
      <w:pPr>
        <w:spacing w:after="40"/>
      </w:pPr>
      <w:r>
        <w:rPr>
          <w:i/>
          <w:iCs/>
          <w:color w:val="6B7280"/>
        </w:rPr>
        <w:t xml:space="preserve">Why it matters: </w:t>
      </w:r>
      <w:r>
        <w:rPr>
          <w:i/>
          <w:iCs/>
          <w:color w:val="6B7280"/>
        </w:rPr>
        <w:t xml:space="preserve">Both are wired behind one abstraction; the only differences are cost, latency and who owns the billing account.</w:t>
      </w:r>
    </w:p>
    <w:p>
      <w:pPr>
        <w:spacing w:after="140"/>
      </w:pPr>
      <w:r>
        <w:rPr>
          <w:b/>
          <w:bCs/>
          <w:color w:val="1A1A2E"/>
        </w:rPr>
        <w:t xml:space="preserve">Our working assumption: </w:t>
      </w:r>
      <w:r>
        <w:t xml:space="preserve">Provider-agnostic. Ships on a deterministic mock; we flip to your chosen provider once you provide a key on your billing account.</w:t>
      </w:r>
    </w:p>
    <w:p>
      <w:pPr>
        <w:spacing w:after="40" w:before="180"/>
      </w:pPr>
      <w:r>
        <w:rPr>
          <w:b/>
          <w:bCs/>
          <w:color w:val="2E5BFF"/>
        </w:rPr>
        <w:t xml:space="preserve">Q8. </w:t>
      </w:r>
      <w:r>
        <w:rPr>
          <w:b/>
          <w:bCs/>
        </w:rPr>
        <w:t xml:space="preserve">Media storage — S3 or Cloudinary — and is there an existing bucket/account?</w:t>
      </w:r>
    </w:p>
    <w:p>
      <w:pPr>
        <w:spacing w:after="40"/>
      </w:pPr>
      <w:r>
        <w:rPr>
          <w:i/>
          <w:iCs/>
          <w:color w:val="6B7280"/>
        </w:rPr>
        <w:t xml:space="preserve">Why it matters: </w:t>
      </w:r>
      <w:r>
        <w:rPr>
          <w:i/>
          <w:iCs/>
          <w:color w:val="6B7280"/>
        </w:rPr>
        <w:t xml:space="preserve">Work submissions and profile media need durable storage with signed uploads. Either works; we need the account.</w:t>
      </w:r>
    </w:p>
    <w:p>
      <w:pPr>
        <w:spacing w:after="140"/>
      </w:pPr>
      <w:r>
        <w:rPr>
          <w:b/>
          <w:bCs/>
          <w:color w:val="1A1A2E"/>
        </w:rPr>
        <w:t xml:space="preserve">Our working assumption: </w:t>
      </w:r>
      <w:r>
        <w:t xml:space="preserve">Abstraction supports both. Mock storage in dev; we wire your account for staging/production.</w:t>
      </w:r>
    </w:p>
    <w:p>
      <w:pPr>
        <w:pStyle w:val="Heading1"/>
        <w:spacing w:after="120" w:before="260"/>
      </w:pPr>
      <w:r>
        <w:rPr>
          <w:color w:val="1A1A2E"/>
        </w:rPr>
        <w:t xml:space="preserve">3. Product Scope &amp; Data Model</w:t>
      </w:r>
    </w:p>
    <w:p>
      <w:pPr>
        <w:spacing w:after="40" w:before="180"/>
      </w:pPr>
      <w:r>
        <w:rPr>
          <w:b/>
          <w:bCs/>
          <w:color w:val="2E5BFF"/>
        </w:rPr>
        <w:t xml:space="preserve">Q9. </w:t>
      </w:r>
      <w:r>
        <w:rPr>
          <w:b/>
          <w:bCs/>
        </w:rPr>
        <w:t xml:space="preserve">Open campaigns (any creator can apply) — confirm this is a follow-on phase, not v1?</w:t>
      </w:r>
    </w:p>
    <w:p>
      <w:pPr>
        <w:spacing w:after="40"/>
      </w:pPr>
      <w:r>
        <w:rPr>
          <w:i/>
          <w:iCs/>
          <w:color w:val="6B7280"/>
        </w:rPr>
        <w:t xml:space="preserve">Why it matters: </w:t>
      </w:r>
      <w:r>
        <w:rPr>
          <w:i/>
          <w:iCs/>
          <w:color w:val="6B7280"/>
        </w:rPr>
        <w:t xml:space="preserve">The proposal (§12) calls this out as needing a new data model rather than a UI patch. We have built the foundation but not the full apply→deal conversion.</w:t>
      </w:r>
    </w:p>
    <w:p>
      <w:pPr>
        <w:spacing w:after="140"/>
      </w:pPr>
      <w:r>
        <w:rPr>
          <w:b/>
          <w:bCs/>
          <w:color w:val="1A1A2E"/>
        </w:rPr>
        <w:t xml:space="preserve">Our working assumption: </w:t>
      </w:r>
      <w:r>
        <w:t xml:space="preserve">Foundation (Campaign model + applicants) is in place; the conversion flow and campaign discovery UI are a scoped follow-on phase.</w:t>
      </w:r>
    </w:p>
    <w:p>
      <w:pPr>
        <w:spacing w:after="40" w:before="180"/>
      </w:pPr>
      <w:r>
        <w:rPr>
          <w:b/>
          <w:bCs/>
          <w:color w:val="2E5BFF"/>
        </w:rPr>
        <w:t xml:space="preserve">Q10. </w:t>
      </w:r>
      <w:r>
        <w:rPr>
          <w:b/>
          <w:bCs/>
        </w:rPr>
        <w:t xml:space="preserve">Admin permission levels — are "super / finance / support" the right three, and who gets the first super-admin?</w:t>
      </w:r>
    </w:p>
    <w:p>
      <w:pPr>
        <w:spacing w:after="40"/>
      </w:pPr>
      <w:r>
        <w:rPr>
          <w:i/>
          <w:iCs/>
          <w:color w:val="6B7280"/>
        </w:rPr>
        <w:t xml:space="preserve">Why it matters: </w:t>
      </w:r>
      <w:r>
        <w:rPr>
          <w:i/>
          <w:iCs/>
          <w:color w:val="6B7280"/>
        </w:rPr>
        <w:t xml:space="preserve">It determines who can move money, moderate content, and invite other admins. The first super-admin bootstraps the rest.</w:t>
      </w:r>
    </w:p>
    <w:p>
      <w:pPr>
        <w:spacing w:after="140"/>
      </w:pPr>
      <w:r>
        <w:rPr>
          <w:b/>
          <w:bCs/>
          <w:color w:val="1A1A2E"/>
        </w:rPr>
        <w:t xml:space="preserve">Our working assumption: </w:t>
      </w:r>
      <w:r>
        <w:t xml:space="preserve">Three levels as above; super does everything. First super-admin is created via a one-time self-locking bootstrap endpoint you run once.</w:t>
      </w:r>
    </w:p>
    <w:p>
      <w:pPr>
        <w:spacing w:after="40" w:before="180"/>
      </w:pPr>
      <w:r>
        <w:rPr>
          <w:b/>
          <w:bCs/>
          <w:color w:val="2E5BFF"/>
        </w:rPr>
        <w:t xml:space="preserve">Q11. </w:t>
      </w:r>
      <w:r>
        <w:rPr>
          <w:b/>
          <w:bCs/>
        </w:rPr>
        <w:t xml:space="preserve">Reviews — two-way (brand↔creator), only after a completed deal, one per party per deal. Correct?</w:t>
      </w:r>
    </w:p>
    <w:p>
      <w:pPr>
        <w:spacing w:after="40"/>
      </w:pPr>
      <w:r>
        <w:rPr>
          <w:i/>
          <w:iCs/>
          <w:color w:val="6B7280"/>
        </w:rPr>
        <w:t xml:space="preserve">Why it matters: </w:t>
      </w:r>
      <w:r>
        <w:rPr>
          <w:i/>
          <w:iCs/>
          <w:color w:val="6B7280"/>
        </w:rPr>
        <w:t xml:space="preserve">Affects trust-score math and abuse surface. Restricting to completed deals prevents review-bombing.</w:t>
      </w:r>
    </w:p>
    <w:p>
      <w:pPr>
        <w:spacing w:after="140"/>
      </w:pPr>
      <w:r>
        <w:rPr>
          <w:b/>
          <w:bCs/>
          <w:color w:val="1A1A2E"/>
        </w:rPr>
        <w:t xml:space="preserve">Our working assumption: </w:t>
      </w:r>
      <w:r>
        <w:t xml:space="preserve">Two-way, completed-deals-only, one review per author per deal, admin can hide. Brand trust score recomputes from creator reviews.</w:t>
      </w:r>
    </w:p>
    <w:p>
      <w:pPr>
        <w:spacing w:after="40" w:before="180"/>
      </w:pPr>
      <w:r>
        <w:rPr>
          <w:b/>
          <w:bCs/>
          <w:color w:val="2E5BFF"/>
        </w:rPr>
        <w:t xml:space="preserve">Q12. </w:t>
      </w:r>
      <w:r>
        <w:rPr>
          <w:b/>
          <w:bCs/>
        </w:rPr>
        <w:t xml:space="preserve">Which of the 22 Indian languages must ship in v1, and is the UI itself localised or just creator-tagging?</w:t>
      </w:r>
    </w:p>
    <w:p>
      <w:pPr>
        <w:spacing w:after="40"/>
      </w:pPr>
      <w:r>
        <w:rPr>
          <w:i/>
          <w:iCs/>
          <w:color w:val="6B7280"/>
        </w:rPr>
        <w:t xml:space="preserve">Why it matters: </w:t>
      </w:r>
      <w:r>
        <w:rPr>
          <w:i/>
          <w:iCs/>
          <w:color w:val="6B7280"/>
        </w:rPr>
        <w:t xml:space="preserve">Content-language tags are trivial; full UI localisation (i18n of every screen) is a much larger effort.</w:t>
      </w:r>
    </w:p>
    <w:p>
      <w:pPr>
        <w:spacing w:after="140"/>
      </w:pPr>
      <w:r>
        <w:rPr>
          <w:b/>
          <w:bCs/>
          <w:color w:val="1A1A2E"/>
        </w:rPr>
        <w:t xml:space="preserve">Our working assumption: </w:t>
      </w:r>
      <w:r>
        <w:t xml:space="preserve">Languages are creator profile tags for discovery. Full multilingual UI is out of v1 scope.</w:t>
      </w:r>
    </w:p>
    <w:p>
      <w:pPr>
        <w:pStyle w:val="Heading1"/>
        <w:spacing w:after="120" w:before="260"/>
      </w:pPr>
      <w:r>
        <w:rPr>
          <w:color w:val="1A1A2E"/>
        </w:rPr>
        <w:t xml:space="preserve">4. Handover, Environments &amp; Data</w:t>
      </w:r>
    </w:p>
    <w:p>
      <w:pPr>
        <w:spacing w:after="40" w:before="180"/>
      </w:pPr>
      <w:r>
        <w:rPr>
          <w:b/>
          <w:bCs/>
          <w:color w:val="2E5BFF"/>
        </w:rPr>
        <w:t xml:space="preserve">Q13. </w:t>
      </w:r>
      <w:r>
        <w:rPr>
          <w:b/>
          <w:bCs/>
        </w:rPr>
        <w:t xml:space="preserve">Is there existing data (creators, brands, deals) in the current Supabase system to migrate?</w:t>
      </w:r>
    </w:p>
    <w:p>
      <w:pPr>
        <w:spacing w:after="40"/>
      </w:pPr>
      <w:r>
        <w:rPr>
          <w:i/>
          <w:iCs/>
          <w:color w:val="6B7280"/>
        </w:rPr>
        <w:t xml:space="preserve">Why it matters: </w:t>
      </w:r>
      <w:r>
        <w:rPr>
          <w:i/>
          <w:iCs/>
          <w:color w:val="6B7280"/>
        </w:rPr>
        <w:t xml:space="preserve">A migration is a distinct workstream with its own mapping and validation. If there is meaningful live data, we need to plan it.</w:t>
      </w:r>
    </w:p>
    <w:p>
      <w:pPr>
        <w:spacing w:after="140"/>
      </w:pPr>
      <w:r>
        <w:rPr>
          <w:b/>
          <w:bCs/>
          <w:color w:val="1A1A2E"/>
        </w:rPr>
        <w:t xml:space="preserve">Our working assumption: </w:t>
      </w:r>
      <w:r>
        <w:t xml:space="preserve">Assuming a clean start with seed/sample data. No migration from the old stack unless you tell us otherwise.</w:t>
      </w:r>
    </w:p>
    <w:p>
      <w:pPr>
        <w:spacing w:after="40" w:before="180"/>
      </w:pPr>
      <w:r>
        <w:rPr>
          <w:b/>
          <w:bCs/>
          <w:color w:val="2E5BFF"/>
        </w:rPr>
        <w:t xml:space="preserve">Q14. </w:t>
      </w:r>
      <w:r>
        <w:rPr>
          <w:b/>
          <w:bCs/>
        </w:rPr>
        <w:t xml:space="preserve">Who owns the MongoDB Atlas, hosting, and domain accounts — you or us during build?</w:t>
      </w:r>
    </w:p>
    <w:p>
      <w:pPr>
        <w:spacing w:after="40"/>
      </w:pPr>
      <w:r>
        <w:rPr>
          <w:i/>
          <w:iCs/>
          <w:color w:val="6B7280"/>
        </w:rPr>
        <w:t xml:space="preserve">Why it matters: </w:t>
      </w:r>
      <w:r>
        <w:rPr>
          <w:i/>
          <w:iCs/>
          <w:color w:val="6B7280"/>
        </w:rPr>
        <w:t xml:space="preserve">Production credentials should live in your accounts from day one so there is no painful handover of ownership later.</w:t>
      </w:r>
    </w:p>
    <w:p>
      <w:pPr>
        <w:spacing w:after="140"/>
      </w:pPr>
      <w:r>
        <w:rPr>
          <w:b/>
          <w:bCs/>
          <w:color w:val="1A1A2E"/>
        </w:rPr>
        <w:t xml:space="preserve">Our working assumption: </w:t>
      </w:r>
      <w:r>
        <w:t xml:space="preserve">You own the cloud accounts; we deploy into them. Atlas + app both pinned to ap-south-1 (Mumbai).</w:t>
      </w:r>
    </w:p>
    <w:p>
      <w:pPr>
        <w:spacing w:after="40" w:before="180"/>
      </w:pPr>
      <w:r>
        <w:rPr>
          <w:b/>
          <w:bCs/>
          <w:color w:val="2E5BFF"/>
        </w:rPr>
        <w:t xml:space="preserve">Q15. </w:t>
      </w:r>
      <w:r>
        <w:rPr>
          <w:b/>
          <w:bCs/>
        </w:rPr>
        <w:t xml:space="preserve">What does UAT look like — same-day sign-off, or a defined test window with a checklist?</w:t>
      </w:r>
    </w:p>
    <w:p>
      <w:pPr>
        <w:spacing w:after="40"/>
      </w:pPr>
      <w:r>
        <w:rPr>
          <w:i/>
          <w:iCs/>
          <w:color w:val="6B7280"/>
        </w:rPr>
        <w:t xml:space="preserve">Why it matters: </w:t>
      </w:r>
      <w:r>
        <w:rPr>
          <w:i/>
          <w:iCs/>
          <w:color w:val="6B7280"/>
        </w:rPr>
        <w:t xml:space="preserve">It sets the boundary between "build" and "change request", which protects the fixed scope for both sides.</w:t>
      </w:r>
    </w:p>
    <w:p>
      <w:pPr>
        <w:spacing w:after="140"/>
      </w:pPr>
      <w:r>
        <w:rPr>
          <w:b/>
          <w:bCs/>
          <w:color w:val="1A1A2E"/>
        </w:rPr>
        <w:t xml:space="preserve">Our working assumption: </w:t>
      </w:r>
      <w:r>
        <w:t xml:space="preserve">A short defined UAT window against an agreed checklist derived from the proposal, not open-ended same-day sign-off.</w:t>
      </w:r>
    </w:p>
    <w:p>
      <w:pPr>
        <w:pStyle w:val="Heading1"/>
        <w:spacing w:after="120" w:before="260"/>
      </w:pPr>
      <w:r>
        <w:rPr>
          <w:color w:val="1A1A2E"/>
        </w:rPr>
        <w:t xml:space="preserve">5. Assumptions Summary</w:t>
      </w:r>
    </w:p>
    <w:p>
      <w:pPr>
        <w:spacing w:after="120"/>
      </w:pPr>
      <w:r>
        <w:rPr>
          <w:color w:val="6B7280"/>
        </w:rPr>
        <w:t xml:space="preserve">The table below is the fast version — tick each row to confirm, or mark the ones you want to discuss.</w:t>
      </w:r>
    </w:p>
    <w:p>
      <w:pPr>
        <w:spacing w:after="120"/>
      </w:pP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560"/>
      </w:tblGrid>
      <w:tr>
        <w:tc>
          <w:tcPr>
            <w:tcW w:type="dxa" w:w="3200"/>
            <w:shd w:fill="2E5BFF" w:color="auto" w:val="clear"/>
            <w:tcMar>
              <w:top w:type="dxa" w:w="60"/>
              <w:left w:type="dxa" w:w="100"/>
              <w:bottom w:type="dxa" w:w="60"/>
              <w:right w:type="dxa" w:w="100"/>
            </w:tcMar>
          </w:tcPr>
          <w:p>
            <w:r>
              <w:rPr>
                <w:b/>
                <w:bCs/>
                <w:color w:val="FFFFFF"/>
                <w:sz w:val="19"/>
                <w:szCs w:val="19"/>
              </w:rPr>
              <w:t xml:space="preserve">Area</w:t>
            </w:r>
          </w:p>
        </w:tc>
        <w:tc>
          <w:tcPr>
            <w:tcW w:type="dxa" w:w="5200"/>
            <w:shd w:fill="2E5BFF" w:color="auto" w:val="clear"/>
            <w:tcMar>
              <w:top w:type="dxa" w:w="60"/>
              <w:left w:type="dxa" w:w="100"/>
              <w:bottom w:type="dxa" w:w="60"/>
              <w:right w:type="dxa" w:w="100"/>
            </w:tcMar>
          </w:tcPr>
          <w:p>
            <w:r>
              <w:rPr>
                <w:b/>
                <w:bCs/>
                <w:color w:val="FFFFFF"/>
                <w:sz w:val="19"/>
                <w:szCs w:val="19"/>
              </w:rPr>
              <w:t xml:space="preserve">Assumption we have coded to</w:t>
            </w:r>
          </w:p>
        </w:tc>
        <w:tc>
          <w:tcPr>
            <w:tcW w:type="dxa" w:w="1560"/>
            <w:shd w:fill="2E5BFF" w:color="auto" w:val="clear"/>
            <w:tcMar>
              <w:top w:type="dxa" w:w="60"/>
              <w:left w:type="dxa" w:w="100"/>
              <w:bottom w:type="dxa" w:w="60"/>
              <w:right w:type="dxa" w:w="100"/>
            </w:tcMar>
          </w:tcPr>
          <w:p>
            <w:r>
              <w:rPr>
                <w:b/>
                <w:bCs/>
                <w:color w:val="FFFFFF"/>
                <w:sz w:val="19"/>
                <w:szCs w:val="19"/>
              </w:rPr>
              <w:t xml:space="preserve">Confirm?</w:t>
            </w:r>
          </w:p>
        </w:tc>
      </w:tr>
      <w:tr>
        <w:tc>
          <w:tcPr>
            <w:tcW w:type="dxa" w:w="3200"/>
            <w:tcMar>
              <w:top w:type="dxa" w:w="60"/>
              <w:left w:type="dxa" w:w="100"/>
              <w:bottom w:type="dxa" w:w="60"/>
              <w:right w:type="dxa" w:w="100"/>
            </w:tcMar>
          </w:tcPr>
          <w:p>
            <w:r>
              <w:rPr>
                <w:sz w:val="19"/>
                <w:szCs w:val="19"/>
              </w:rPr>
              <w:t xml:space="preserve">Scope model</w:t>
            </w:r>
          </w:p>
        </w:tc>
        <w:tc>
          <w:tcPr>
            <w:tcW w:type="dxa" w:w="5200"/>
            <w:tcMar>
              <w:top w:type="dxa" w:w="60"/>
              <w:left w:type="dxa" w:w="100"/>
              <w:bottom w:type="dxa" w:w="60"/>
              <w:right w:type="dxa" w:w="100"/>
            </w:tcMar>
          </w:tcPr>
          <w:p>
            <w:r>
              <w:rPr>
                <w:sz w:val="19"/>
                <w:szCs w:val="19"/>
              </w:rPr>
              <w:t xml:space="preserve">Fixed-scope build per the proposal (not an open-ended dedicated team). Change requests handled as a follow-on phase.</w:t>
            </w:r>
          </w:p>
        </w:tc>
        <w:tc>
          <w:tcPr>
            <w:tcW w:type="dxa" w:w="1560"/>
            <w:tcMar>
              <w:top w:type="dxa" w:w="60"/>
              <w:left w:type="dxa" w:w="100"/>
              <w:bottom w:type="dxa" w:w="60"/>
              <w:right w:type="dxa" w:w="100"/>
            </w:tcMar>
          </w:tcPr>
          <w:p>
            <w:r>
              <w:rPr>
                <w:sz w:val="19"/>
                <w:szCs w:val="19"/>
              </w:rPr>
              <w:t xml:space="preserve">Y / N</w:t>
            </w:r>
          </w:p>
        </w:tc>
      </w:tr>
      <w:tr>
        <w:tc>
          <w:tcPr>
            <w:tcW w:type="dxa" w:w="3200"/>
            <w:tcMar>
              <w:top w:type="dxa" w:w="60"/>
              <w:left w:type="dxa" w:w="100"/>
              <w:bottom w:type="dxa" w:w="60"/>
              <w:right w:type="dxa" w:w="100"/>
            </w:tcMar>
          </w:tcPr>
          <w:p>
            <w:r>
              <w:rPr>
                <w:sz w:val="19"/>
                <w:szCs w:val="19"/>
              </w:rPr>
              <w:t xml:space="preserve">Deal engine</w:t>
            </w:r>
          </w:p>
        </w:tc>
        <w:tc>
          <w:tcPr>
            <w:tcW w:type="dxa" w:w="5200"/>
            <w:tcMar>
              <w:top w:type="dxa" w:w="60"/>
              <w:left w:type="dxa" w:w="100"/>
              <w:bottom w:type="dxa" w:w="60"/>
              <w:right w:type="dxa" w:w="100"/>
            </w:tcMar>
          </w:tcPr>
          <w:p>
            <w:r>
              <w:rPr>
                <w:sz w:val="19"/>
                <w:szCs w:val="19"/>
              </w:rPr>
              <w:t xml:space="preserve">10-state escrow lifecycle: invited → negotiating → accepted → escrow_funded → in_progress → submitted → revision → completed, plus disputed &amp; cancelled.</w:t>
            </w:r>
          </w:p>
        </w:tc>
        <w:tc>
          <w:tcPr>
            <w:tcW w:type="dxa" w:w="1560"/>
            <w:tcMar>
              <w:top w:type="dxa" w:w="60"/>
              <w:left w:type="dxa" w:w="100"/>
              <w:bottom w:type="dxa" w:w="60"/>
              <w:right w:type="dxa" w:w="100"/>
            </w:tcMar>
          </w:tcPr>
          <w:p>
            <w:r>
              <w:rPr>
                <w:sz w:val="19"/>
                <w:szCs w:val="19"/>
              </w:rPr>
              <w:t xml:space="preserve">Y / N</w:t>
            </w:r>
          </w:p>
        </w:tc>
      </w:tr>
      <w:tr>
        <w:tc>
          <w:tcPr>
            <w:tcW w:type="dxa" w:w="3200"/>
            <w:tcMar>
              <w:top w:type="dxa" w:w="60"/>
              <w:left w:type="dxa" w:w="100"/>
              <w:bottom w:type="dxa" w:w="60"/>
              <w:right w:type="dxa" w:w="100"/>
            </w:tcMar>
          </w:tcPr>
          <w:p>
            <w:r>
              <w:rPr>
                <w:sz w:val="19"/>
                <w:szCs w:val="19"/>
              </w:rPr>
              <w:t xml:space="preserve">Escrow provider</w:t>
            </w:r>
          </w:p>
        </w:tc>
        <w:tc>
          <w:tcPr>
            <w:tcW w:type="dxa" w:w="5200"/>
            <w:tcMar>
              <w:top w:type="dxa" w:w="60"/>
              <w:left w:type="dxa" w:w="100"/>
              <w:bottom w:type="dxa" w:w="60"/>
              <w:right w:type="dxa" w:w="100"/>
            </w:tcMar>
          </w:tcPr>
          <w:p>
            <w:r>
              <w:rPr>
                <w:sz w:val="19"/>
                <w:szCs w:val="19"/>
              </w:rPr>
              <w:t xml:space="preserve">Razorpay for collection; RazorpayX / Route for creator payouts. Platform holds funds until deal completion.</w:t>
            </w:r>
          </w:p>
        </w:tc>
        <w:tc>
          <w:tcPr>
            <w:tcW w:type="dxa" w:w="1560"/>
            <w:tcMar>
              <w:top w:type="dxa" w:w="60"/>
              <w:left w:type="dxa" w:w="100"/>
              <w:bottom w:type="dxa" w:w="60"/>
              <w:right w:type="dxa" w:w="100"/>
            </w:tcMar>
          </w:tcPr>
          <w:p>
            <w:r>
              <w:rPr>
                <w:sz w:val="19"/>
                <w:szCs w:val="19"/>
              </w:rPr>
              <w:t xml:space="preserve">Y / N</w:t>
            </w:r>
          </w:p>
        </w:tc>
      </w:tr>
      <w:tr>
        <w:tc>
          <w:tcPr>
            <w:tcW w:type="dxa" w:w="3200"/>
            <w:tcMar>
              <w:top w:type="dxa" w:w="60"/>
              <w:left w:type="dxa" w:w="100"/>
              <w:bottom w:type="dxa" w:w="60"/>
              <w:right w:type="dxa" w:w="100"/>
            </w:tcMar>
          </w:tcPr>
          <w:p>
            <w:r>
              <w:rPr>
                <w:sz w:val="19"/>
                <w:szCs w:val="19"/>
              </w:rPr>
              <w:t xml:space="preserve">Payout timing</w:t>
            </w:r>
          </w:p>
        </w:tc>
        <w:tc>
          <w:tcPr>
            <w:tcW w:type="dxa" w:w="5200"/>
            <w:tcMar>
              <w:top w:type="dxa" w:w="60"/>
              <w:left w:type="dxa" w:w="100"/>
              <w:bottom w:type="dxa" w:w="60"/>
              <w:right w:type="dxa" w:w="100"/>
            </w:tcMar>
          </w:tcPr>
          <w:p>
            <w:r>
              <w:rPr>
                <w:sz w:val="19"/>
                <w:szCs w:val="19"/>
              </w:rPr>
              <w:t xml:space="preserve">Escrow releases to the creator only on brand approval (submitted → completed), or by admin on dispute resolution.</w:t>
            </w:r>
          </w:p>
        </w:tc>
        <w:tc>
          <w:tcPr>
            <w:tcW w:type="dxa" w:w="1560"/>
            <w:tcMar>
              <w:top w:type="dxa" w:w="60"/>
              <w:left w:type="dxa" w:w="100"/>
              <w:bottom w:type="dxa" w:w="60"/>
              <w:right w:type="dxa" w:w="100"/>
            </w:tcMar>
          </w:tcPr>
          <w:p>
            <w:r>
              <w:rPr>
                <w:sz w:val="19"/>
                <w:szCs w:val="19"/>
              </w:rPr>
              <w:t xml:space="preserve">Y / N</w:t>
            </w:r>
          </w:p>
        </w:tc>
      </w:tr>
      <w:tr>
        <w:tc>
          <w:tcPr>
            <w:tcW w:type="dxa" w:w="3200"/>
            <w:tcMar>
              <w:top w:type="dxa" w:w="60"/>
              <w:left w:type="dxa" w:w="100"/>
              <w:bottom w:type="dxa" w:w="60"/>
              <w:right w:type="dxa" w:w="100"/>
            </w:tcMar>
          </w:tcPr>
          <w:p>
            <w:r>
              <w:rPr>
                <w:sz w:val="19"/>
                <w:szCs w:val="19"/>
              </w:rPr>
              <w:t xml:space="preserve">Social data</w:t>
            </w:r>
          </w:p>
        </w:tc>
        <w:tc>
          <w:tcPr>
            <w:tcW w:type="dxa" w:w="5200"/>
            <w:tcMar>
              <w:top w:type="dxa" w:w="60"/>
              <w:left w:type="dxa" w:w="100"/>
              <w:bottom w:type="dxa" w:w="60"/>
              <w:right w:type="dxa" w:w="100"/>
            </w:tcMar>
          </w:tcPr>
          <w:p>
            <w:r>
              <w:rPr>
                <w:sz w:val="19"/>
                <w:szCs w:val="19"/>
              </w:rPr>
              <w:t xml:space="preserve">Follower/engagement numbers are self-reported until Meta App Review clears; real Instagram/YouTube pull switches on post-approval with no code change.</w:t>
            </w:r>
          </w:p>
        </w:tc>
        <w:tc>
          <w:tcPr>
            <w:tcW w:type="dxa" w:w="1560"/>
            <w:tcMar>
              <w:top w:type="dxa" w:w="60"/>
              <w:left w:type="dxa" w:w="100"/>
              <w:bottom w:type="dxa" w:w="60"/>
              <w:right w:type="dxa" w:w="100"/>
            </w:tcMar>
          </w:tcPr>
          <w:p>
            <w:r>
              <w:rPr>
                <w:sz w:val="19"/>
                <w:szCs w:val="19"/>
              </w:rPr>
              <w:t xml:space="preserve">Y / N</w:t>
            </w:r>
          </w:p>
        </w:tc>
      </w:tr>
      <w:tr>
        <w:tc>
          <w:tcPr>
            <w:tcW w:type="dxa" w:w="3200"/>
            <w:tcMar>
              <w:top w:type="dxa" w:w="60"/>
              <w:left w:type="dxa" w:w="100"/>
              <w:bottom w:type="dxa" w:w="60"/>
              <w:right w:type="dxa" w:w="100"/>
            </w:tcMar>
          </w:tcPr>
          <w:p>
            <w:r>
              <w:rPr>
                <w:sz w:val="19"/>
                <w:szCs w:val="19"/>
              </w:rPr>
              <w:t xml:space="preserve">AI provider</w:t>
            </w:r>
          </w:p>
        </w:tc>
        <w:tc>
          <w:tcPr>
            <w:tcW w:type="dxa" w:w="5200"/>
            <w:tcMar>
              <w:top w:type="dxa" w:w="60"/>
              <w:left w:type="dxa" w:w="100"/>
              <w:bottom w:type="dxa" w:w="60"/>
              <w:right w:type="dxa" w:w="100"/>
            </w:tcMar>
          </w:tcPr>
          <w:p>
            <w:r>
              <w:rPr>
                <w:sz w:val="19"/>
                <w:szCs w:val="19"/>
              </w:rPr>
              <w:t xml:space="preserve">Provider-agnostic. Ships against a deterministic mock; OpenAI or Gemini enabled by one env var when you supply a key.</w:t>
            </w:r>
          </w:p>
        </w:tc>
        <w:tc>
          <w:tcPr>
            <w:tcW w:type="dxa" w:w="1560"/>
            <w:tcMar>
              <w:top w:type="dxa" w:w="60"/>
              <w:left w:type="dxa" w:w="100"/>
              <w:bottom w:type="dxa" w:w="60"/>
              <w:right w:type="dxa" w:w="100"/>
            </w:tcMar>
          </w:tcPr>
          <w:p>
            <w:r>
              <w:rPr>
                <w:sz w:val="19"/>
                <w:szCs w:val="19"/>
              </w:rPr>
              <w:t xml:space="preserve">Y / N</w:t>
            </w:r>
          </w:p>
        </w:tc>
      </w:tr>
      <w:tr>
        <w:tc>
          <w:tcPr>
            <w:tcW w:type="dxa" w:w="3200"/>
            <w:tcMar>
              <w:top w:type="dxa" w:w="60"/>
              <w:left w:type="dxa" w:w="100"/>
              <w:bottom w:type="dxa" w:w="60"/>
              <w:right w:type="dxa" w:w="100"/>
            </w:tcMar>
          </w:tcPr>
          <w:p>
            <w:r>
              <w:rPr>
                <w:sz w:val="19"/>
                <w:szCs w:val="19"/>
              </w:rPr>
              <w:t xml:space="preserve">Auth</w:t>
            </w:r>
          </w:p>
        </w:tc>
        <w:tc>
          <w:tcPr>
            <w:tcW w:type="dxa" w:w="5200"/>
            <w:tcMar>
              <w:top w:type="dxa" w:w="60"/>
              <w:left w:type="dxa" w:w="100"/>
              <w:bottom w:type="dxa" w:w="60"/>
              <w:right w:type="dxa" w:w="100"/>
            </w:tcMar>
          </w:tcPr>
          <w:p>
            <w:r>
              <w:rPr>
                <w:sz w:val="19"/>
                <w:szCs w:val="19"/>
              </w:rPr>
              <w:t xml:space="preserve">Phone OTP (Twilio Verify) primary; Google OAuth secondary. Admin accounts are invite-only.</w:t>
            </w:r>
          </w:p>
        </w:tc>
        <w:tc>
          <w:tcPr>
            <w:tcW w:type="dxa" w:w="1560"/>
            <w:tcMar>
              <w:top w:type="dxa" w:w="60"/>
              <w:left w:type="dxa" w:w="100"/>
              <w:bottom w:type="dxa" w:w="60"/>
              <w:right w:type="dxa" w:w="100"/>
            </w:tcMar>
          </w:tcPr>
          <w:p>
            <w:r>
              <w:rPr>
                <w:sz w:val="19"/>
                <w:szCs w:val="19"/>
              </w:rPr>
              <w:t xml:space="preserve">Y / N</w:t>
            </w:r>
          </w:p>
        </w:tc>
      </w:tr>
      <w:tr>
        <w:tc>
          <w:tcPr>
            <w:tcW w:type="dxa" w:w="3200"/>
            <w:tcMar>
              <w:top w:type="dxa" w:w="60"/>
              <w:left w:type="dxa" w:w="100"/>
              <w:bottom w:type="dxa" w:w="60"/>
              <w:right w:type="dxa" w:w="100"/>
            </w:tcMar>
          </w:tcPr>
          <w:p>
            <w:r>
              <w:rPr>
                <w:sz w:val="19"/>
                <w:szCs w:val="19"/>
              </w:rPr>
              <w:t xml:space="preserve">Open campaigns</w:t>
            </w:r>
          </w:p>
        </w:tc>
        <w:tc>
          <w:tcPr>
            <w:tcW w:type="dxa" w:w="5200"/>
            <w:tcMar>
              <w:top w:type="dxa" w:w="60"/>
              <w:left w:type="dxa" w:w="100"/>
              <w:bottom w:type="dxa" w:w="60"/>
              <w:right w:type="dxa" w:w="100"/>
            </w:tcMar>
          </w:tcPr>
          <w:p>
            <w:r>
              <w:rPr>
                <w:sz w:val="19"/>
                <w:szCs w:val="19"/>
              </w:rPr>
              <w:t xml:space="preserve">Data model is in place; the apply → deal conversion flow is scoped as a follow-on phase (proposal §12).</w:t>
            </w:r>
          </w:p>
        </w:tc>
        <w:tc>
          <w:tcPr>
            <w:tcW w:type="dxa" w:w="1560"/>
            <w:tcMar>
              <w:top w:type="dxa" w:w="60"/>
              <w:left w:type="dxa" w:w="100"/>
              <w:bottom w:type="dxa" w:w="60"/>
              <w:right w:type="dxa" w:w="100"/>
            </w:tcMar>
          </w:tcPr>
          <w:p>
            <w:r>
              <w:rPr>
                <w:sz w:val="19"/>
                <w:szCs w:val="19"/>
              </w:rPr>
              <w:t xml:space="preserve">Y / N</w:t>
            </w:r>
          </w:p>
        </w:tc>
      </w:tr>
      <w:tr>
        <w:tc>
          <w:tcPr>
            <w:tcW w:type="dxa" w:w="3200"/>
            <w:tcMar>
              <w:top w:type="dxa" w:w="60"/>
              <w:left w:type="dxa" w:w="100"/>
              <w:bottom w:type="dxa" w:w="60"/>
              <w:right w:type="dxa" w:w="100"/>
            </w:tcMar>
          </w:tcPr>
          <w:p>
            <w:r>
              <w:rPr>
                <w:sz w:val="19"/>
                <w:szCs w:val="19"/>
              </w:rPr>
              <w:t xml:space="preserve">Currency</w:t>
            </w:r>
          </w:p>
        </w:tc>
        <w:tc>
          <w:tcPr>
            <w:tcW w:type="dxa" w:w="5200"/>
            <w:tcMar>
              <w:top w:type="dxa" w:w="60"/>
              <w:left w:type="dxa" w:w="100"/>
              <w:bottom w:type="dxa" w:w="60"/>
              <w:right w:type="dxa" w:w="100"/>
            </w:tcMar>
          </w:tcPr>
          <w:p>
            <w:r>
              <w:rPr>
                <w:sz w:val="19"/>
                <w:szCs w:val="19"/>
              </w:rPr>
              <w:t xml:space="preserve">INR only. Multi-currency is out of scope for v1.</w:t>
            </w:r>
          </w:p>
        </w:tc>
        <w:tc>
          <w:tcPr>
            <w:tcW w:type="dxa" w:w="1560"/>
            <w:tcMar>
              <w:top w:type="dxa" w:w="60"/>
              <w:left w:type="dxa" w:w="100"/>
              <w:bottom w:type="dxa" w:w="60"/>
              <w:right w:type="dxa" w:w="100"/>
            </w:tcMar>
          </w:tcPr>
          <w:p>
            <w:r>
              <w:rPr>
                <w:sz w:val="19"/>
                <w:szCs w:val="19"/>
              </w:rPr>
              <w:t xml:space="preserve">Y / N</w:t>
            </w:r>
          </w:p>
        </w:tc>
      </w:tr>
      <w:tr>
        <w:tc>
          <w:tcPr>
            <w:tcW w:type="dxa" w:w="3200"/>
            <w:tcMar>
              <w:top w:type="dxa" w:w="60"/>
              <w:left w:type="dxa" w:w="100"/>
              <w:bottom w:type="dxa" w:w="60"/>
              <w:right w:type="dxa" w:w="100"/>
            </w:tcMar>
          </w:tcPr>
          <w:p>
            <w:r>
              <w:rPr>
                <w:sz w:val="19"/>
                <w:szCs w:val="19"/>
              </w:rPr>
              <w:t xml:space="preserve">Mobile</w:t>
            </w:r>
          </w:p>
        </w:tc>
        <w:tc>
          <w:tcPr>
            <w:tcW w:type="dxa" w:w="5200"/>
            <w:tcMar>
              <w:top w:type="dxa" w:w="60"/>
              <w:left w:type="dxa" w:w="100"/>
              <w:bottom w:type="dxa" w:w="60"/>
              <w:right w:type="dxa" w:w="100"/>
            </w:tcMar>
          </w:tcPr>
          <w:p>
            <w:r>
              <w:rPr>
                <w:sz w:val="19"/>
                <w:szCs w:val="19"/>
              </w:rPr>
              <w:t xml:space="preserve">Responsive web only. Native iOS/Android apps are out of scope for v1.</w:t>
            </w:r>
          </w:p>
        </w:tc>
        <w:tc>
          <w:tcPr>
            <w:tcW w:type="dxa" w:w="1560"/>
            <w:tcMar>
              <w:top w:type="dxa" w:w="60"/>
              <w:left w:type="dxa" w:w="100"/>
              <w:bottom w:type="dxa" w:w="60"/>
              <w:right w:type="dxa" w:w="100"/>
            </w:tcMar>
          </w:tcPr>
          <w:p>
            <w:r>
              <w:rPr>
                <w:sz w:val="19"/>
                <w:szCs w:val="19"/>
              </w:rPr>
              <w:t xml:space="preserve">Y / N</w:t>
            </w:r>
          </w:p>
        </w:tc>
      </w:tr>
      <w:tr>
        <w:tc>
          <w:tcPr>
            <w:tcW w:type="dxa" w:w="3200"/>
            <w:tcMar>
              <w:top w:type="dxa" w:w="60"/>
              <w:left w:type="dxa" w:w="100"/>
              <w:bottom w:type="dxa" w:w="60"/>
              <w:right w:type="dxa" w:w="100"/>
            </w:tcMar>
          </w:tcPr>
          <w:p>
            <w:r>
              <w:rPr>
                <w:sz w:val="19"/>
                <w:szCs w:val="19"/>
              </w:rPr>
              <w:t xml:space="preserve">Region</w:t>
            </w:r>
          </w:p>
        </w:tc>
        <w:tc>
          <w:tcPr>
            <w:tcW w:type="dxa" w:w="5200"/>
            <w:tcMar>
              <w:top w:type="dxa" w:w="60"/>
              <w:left w:type="dxa" w:w="100"/>
              <w:bottom w:type="dxa" w:w="60"/>
              <w:right w:type="dxa" w:w="100"/>
            </w:tcMar>
          </w:tcPr>
          <w:p>
            <w:r>
              <w:rPr>
                <w:sz w:val="19"/>
                <w:szCs w:val="19"/>
              </w:rPr>
              <w:t xml:space="preserve">API compute and MongoDB Atlas both in ap-south-1 (Mumbai) to avoid the prior cross-region latency issue.</w:t>
            </w:r>
          </w:p>
        </w:tc>
        <w:tc>
          <w:tcPr>
            <w:tcW w:type="dxa" w:w="1560"/>
            <w:tcMar>
              <w:top w:type="dxa" w:w="60"/>
              <w:left w:type="dxa" w:w="100"/>
              <w:bottom w:type="dxa" w:w="60"/>
              <w:right w:type="dxa" w:w="100"/>
            </w:tcMar>
          </w:tcPr>
          <w:p>
            <w:r>
              <w:rPr>
                <w:sz w:val="19"/>
                <w:szCs w:val="19"/>
              </w:rPr>
              <w:t xml:space="preserve">Y / N</w:t>
            </w:r>
          </w:p>
        </w:tc>
      </w:tr>
    </w:tbl>
    <w:p>
      <w:pPr>
        <w:pBdr>
          <w:top w:val="single" w:color="D1D5DB" w:sz="8" w:space="6"/>
        </w:pBdr>
        <w:spacing w:before="300"/>
      </w:pPr>
    </w:p>
    <w:p>
      <w:pPr>
        <w:spacing w:before="120"/>
      </w:pPr>
      <w:r>
        <w:rPr>
          <w:i/>
          <w:iCs/>
          <w:color w:val="6B7280"/>
          <w:sz w:val="18"/>
          <w:szCs w:val="18"/>
        </w:rPr>
        <w:t xml:space="preserve">Prepared by CircleBuilds for the Marqueiver engagement. Questions unblock scope — the sooner these are answered, the less rework later.</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b/>
      <w:bCs/>
      <w:color w:val="1A1A2E"/>
      <w:sz w:val="30"/>
      <w:szCs w:val="30"/>
    </w:rPr>
  </w:style>
  <w:style w:type="paragraph" w:styleId="Heading2">
    <w:name w:val="Heading 2"/>
    <w:basedOn w:val="Normal"/>
    <w:next w:val="Normal"/>
    <w:qFormat/>
    <w:pPr>
      <w:spacing w:after="100" w:before="240"/>
    </w:pPr>
    <w:rPr>
      <w:b/>
      <w:bCs/>
      <w:color w:val="2E5B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2026-07-25T17:42:41.261Z</dcterms:created>
  <dcterms:modified xsi:type="dcterms:W3CDTF">2026-07-25T17:42:41.261Z</dcterms:modified>
</cp:coreProperties>
</file>

<file path=docProps/custom.xml><?xml version="1.0" encoding="utf-8"?>
<Properties xmlns="http://schemas.openxmlformats.org/officeDocument/2006/custom-properties" xmlns:vt="http://schemas.openxmlformats.org/officeDocument/2006/docPropsVTypes"/>
</file>