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  <w:color w:val="000000"/>
        </w:rPr>
        <w:t>Лабораторная работа 2</w:t>
      </w:r>
    </w:p>
    <w:p>
      <w:pPr>
        <w:pStyle w:val="Title"/>
      </w:pPr>
      <w:r>
        <w:rPr>
          <w:rFonts w:ascii="Times New Roman" w:hAnsi="Times New Roman" w:eastAsia="Times New Roman" w:cs="Times New Roman"/>
          <w:color w:val="000000"/>
        </w:rPr>
        <w:t>Моделирование последствий пожара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1 Цель работы и исходные материалы</w:t>
      </w:r>
    </w:p>
    <w:p>
      <w:r>
        <w:rPr>
          <w:rFonts w:ascii="Times New Roman" w:hAnsi="Times New Roman" w:eastAsia="Times New Roman" w:cs="Times New Roman"/>
          <w:color w:val="000000"/>
        </w:rPr>
        <w:t>Разработать калькулятор, решающий систему дифференциальных уравнений из материалов преподавателя, построить графики и сравнить начальные состояния.</w:t>
      </w:r>
    </w:p>
    <w:p>
      <w:r>
        <w:rPr>
          <w:rFonts w:ascii="Times New Roman" w:hAnsi="Times New Roman" w:eastAsia="Times New Roman" w:cs="Times New Roman"/>
          <w:color w:val="000000"/>
        </w:rPr>
        <w:t>Основной режим воспроизводит полностью записанный численный пример из предоставленной статьи: 15 дифференциальных уравнений, их коэффициенты и начальные значения. Пользователь вводит только числа. Отдельный режим реализует символическую систему (3) с внешними факторами. Это разные записи исходника, а не две формы одной и той же системы.</w:t>
      </w:r>
    </w:p>
    <w:p>
      <w:r>
        <w:rPr>
          <w:rFonts w:ascii="Times New Roman" w:hAnsi="Times New Roman" w:eastAsia="Times New Roman" w:cs="Times New Roman"/>
          <w:color w:val="000000"/>
        </w:rPr>
        <w:t>Использованы три файла: «Статистика Путилов.xlsx», «Матрица с возмущениями.xlsx», «текущаястатья_путилов_каспий.docx». Файлы из предоставленной папки Google Drive побайтно совпали с локальными файлами. Статистика содержит восемь годовых наблюдений за 2015–2022 годы.</w:t>
      </w:r>
    </w:p>
    <w:p>
      <w:r>
        <w:rPr>
          <w:rFonts w:ascii="Times New Roman" w:hAnsi="Times New Roman" w:eastAsia="Times New Roman" w:cs="Times New Roman"/>
          <w:color w:val="000000"/>
        </w:rPr>
        <w:t>В интерфейсе три раздела: «Расчёт», «Эксперименты», «Формулы и данные». Формулы доступны для чтения; ввод пользователя состоит из чисел и выбора настроек. Основной пример заполнен и готов к запуску.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2 Переменные и нормировка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Xᵢ = Yᵢ / Mᵢ; Mᵢ = max(Yᵢ за 2015–2022); Yᵢ = MᵢXᵢ.</w:t>
      </w:r>
    </w:p>
    <w:p>
      <w:r>
        <w:rPr>
          <w:rFonts w:ascii="Times New Roman" w:hAnsi="Times New Roman" w:eastAsia="Times New Roman" w:cs="Times New Roman"/>
          <w:color w:val="000000"/>
        </w:rPr>
        <w:t>Нормировка выполняется по максимуму каждого столбца. X — безразмерные значения; Y — значения в исходных единицах. Первые два показателя относятся к людям, остальные — к денежным потерям в тысячах рублей. X₃ не складывается повторно с потерями по причинам. Дробный результат для людей является модельной величиной, а не числом зарегистрированных пострадавших.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4592"/>
        <w:gridCol w:w="2381"/>
        <w:gridCol w:w="1984"/>
      </w:tblGrid>
      <w:tr>
        <w:trPr>
          <w:cantSplit/>
          <w:tblHeader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M, исходные единицы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X(0) статьи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Погибшие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9 405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X2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Травмированные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10 962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X3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Прямой ущерб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22 461 847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Производственное оборудование и техпроцесс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1 942 729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Электрооборудование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13 250 190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0,609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Газовое оборудование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864 824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0,854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Электрогазосварочные работы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1 914 455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Взрывы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57 751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0,055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Самовозгорание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690 213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0,204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X10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Печи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887 695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0,823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Теплогенерирующие установки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328 566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0,172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Огневые работы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249 142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0,046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Грозовые разряды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142 093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0,598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Неустановленные причины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2 369 300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</w:t>
            </w:r>
          </w:p>
        </w:tc>
        <w:tc>
          <w:tcPr>
            <w:tcW w:type="dxa" w:w="459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Поджог</w:t>
            </w:r>
          </w:p>
        </w:tc>
        <w:tc>
          <w:tcPr>
            <w:tcW w:type="dxa" w:w="238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3 510 346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</w:tr>
    </w:tbl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3 Уравнения численного примера</w:t>
      </w:r>
    </w:p>
    <w:p>
      <w:r>
        <w:rPr>
          <w:rFonts w:ascii="Times New Roman" w:hAnsi="Times New Roman" w:eastAsia="Times New Roman" w:cs="Times New Roman"/>
          <w:color w:val="000000"/>
        </w:rPr>
        <w:t>Ниже полностью приведены правые части численного блока статьи. Коэффициенты и операции сохранены буквально. Верхний индекс 2 означает квадрат. В записи исходника используются произведения полиномов; они не заменяются разностями из отдельной символической системы (3).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dX₁/dt = (0.66 + 0.759·X₅ − 0.566·X₅²)·(0.886 − 0.155·X₆ + 0.218·X₆²)·(0.928 − 0.0928·X₉ − 0.00627·X₉²)·( − 1.75 + 6.01·X₁₀ − 3.4·X₁₀²)·(0.83 + 0.206·X₁₃ − 0.154·X₁₃²)·(1.07 − 0.73·X₁₅ + 0.643·X₁₅²)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dX₂/dt = (0.791 + 0.374·X₅ − 0.421·X₅²)·(0.508 + 0.865·X₁₀ − 0.538·X₁₀²)·(0.632 + 0.894·X₁₃ − 0.785·X₁₃²)·(0.731 − 0.0611·X₁₅ + 0.313·X₁₅²)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dX₃/dt = (0.694 + 0.0898·X₄ + 0.186·X₄²)·( − 0.409 + 3.31·X₅ − 2.02·X₅²)·(0.714 + 0.79·X₆ − 0.855·X₆²)·(0.729 + 0.0282·X₇ + 0.239·X₇²)·(0.797 − 0.18·X₈ + 0.106·X₈²)·(0.752 + 0.0439·X₉ + 0.0213·X₉²)·(0.851 − 0.164·X₁₁ − 0.0481·X₁₁²)·(0.775 + 0.214·X₁₂ − 0.311·X₁₂²)·(0.827 − 0.119·X₁₃ + 0.0415·X₁₃²)·(0.977 − 1.36·X₁₄ + 1.1·X₁₄²)·(1.55 − 2.46·X₁₅ + 1.82·X₁₅²)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dX₄/dt = ( − 2.23 + 8.3·X₅ − 5.92·X₅²)·(0.39 − 0.871·X₇ + 1.48·X₇²)·(0.254 + 1.03·X₉ − 1.14·X₉²)·(0.602 − 0.787·X₁₁ + 0.351·X₁₁²)·(0.462 − 0.202·X₁₂ − 0.0408·X₁₂²)·(0.558 − 1.21·X₁₄ + 1.04·X₁₄²)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dX₅/dt = (0.517 + 0.522·X₄ − 0.473·X₄²)·(0.466 + 1.03·X₇ − 0.895·X₇²)·(0.497 + 1.49·X₈ − 1.45·X₈²)·(0.633 + 0.206·X₁₁ − 0.419·X₁₁²)·(0.817 − 1.41·X₁₄ + 1.11·X₁₄²)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dX₆/dt = (0.749 − 2.41·X₄ + 2.41·X₄²)·( − 0.04 + 2.73·X₇ − 1.83·X₇²)·(0.701 − 3.2·X₈ + 2.63·X₈²)·(0.393 − 0.0128·X₁₁ + 0.0645·X₁₁²)·(0.0571 + 1.87·X₁₃ − 1.9·X₁₃²)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dX₇/dt = ( − 0.0369 + 1.56·X₆ − 1.07·X₆²)·(0.365 − 0.308·X₁₁ + 0.0856·X₁₁²)·(0.393 − 0.575·X₁₄ + 0.222·X₁₄²)·(1.65 − 5.48·X₁₅ + 4.75·X₁₅²)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dX₈/dt = (0.576 − 2.64·X₇ + 2.13·X₇²)·(0.0691 + 0.84·X₉ − 0.825·X₉²)·( − 0.224 + 2.86·X₁₁ − 2.61·X₁₁²)·(0.185 − 0.964·X₁₄ + 1.78·X₁₄²)·(3.21 − 7.87·X₁₅ + 4.79·X₁₅²)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dX₉/dt = (0.791 + 0.374·X₅ − 0.421·X₅²)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dX₁₀/dt = (0.846 + 0.327·X₄ − 0.305·X₄²)·(0.925 − 0.112·X₇ + 0.0196·X₇²)·(0.819 + X₈ − 0.924·X₈²)·(0.837 + 0.481·X₁₂ − 0.419·X₁₂²)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dX₁₁/dt = (0.626 − 0.8·X₄ + 0.297·X₄²)·(1.58 − 3.14·X₅ + 1.75·X₅²)·(0.483 − 0.437·X₇ + 0.142·X₇²)·(0.47 − 0.541·X₁₄ + 0.431·X₁₄²)·( − 0.178 + 2.14·X₁₅ − 1.8·X₁₅²)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dX₁₂/dt = (0.27 + 0.761·X₄ − 0.996·X₄²)·(0.658 − 3.06·X₁₄ + 3.22·X₁₄²)·(1.93 − 3.45·X₁₅ + 1.52·X₁₅²)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dX₁₃/dt = (0.483 + 0.523·X₄ − 0.44·X₄²)·(0.347 + 2.08·X₈ − 1.42·X₈²)·(0.321 + 1.62·X₁₂ − 1.18·X₁₂²)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dX₁₄/dt = ( − 0.0768 + 2.35·X₄ − 2.26·X₄²)·(0.388 + 0.0462·X₅ − 0.339·X₅²)·(0.262 + 0.273·X₆ − 0.306·X₆²)·(0.531 − 1.66·X₇ + 1.24·X₇²)·(0.268 − 1.26·X₈ + 1.99·X₈²)·(0.28 + 0.357·X₉ − 0.596·X₉²)·( − 0.0217 + 2.18·X₁₁ − 2.08·X₁₁²)·(1.37×10⁻⁵ + 2.08·X₁₂ − 1.74·X₁₂²)·(0.804 − 2.95·X₁₃ + 3.07·X₁₃²)·(7.85×10⁻¹⁷ + X₁₄ + 9.5×10⁻¹⁷·X₁₄²)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dX₁₅/dt = (0.473 + 0.949·X₆ − 0.558·X₆²)·(0.496 + 1.02·X₇ − 0.519·X₇²)·(0.924 − 2.51·X₈ + 2.04·X₈²)·(0.873 − 0.619·X₉ + 0.241·X₉²)·(0.909 − 1.33·X₁₁ + 1.13·X₁₁²)·(1.57×10⁻¹⁶ + X₁₅ + 2.66×10⁻¹⁷·X₁₅²)</w:t>
      </w:r>
    </w:p>
    <w:p>
      <w:r>
        <w:rPr>
          <w:rFonts w:ascii="Times New Roman" w:hAnsi="Times New Roman" w:eastAsia="Times New Roman" w:cs="Times New Roman"/>
          <w:color w:val="000000"/>
        </w:rPr>
        <w:t>Начальное состояние указано в таблице раздела 2; X₁₀(0)=0,823 взято именно из статьи. Интервал T=0,7. В статье t=0; 0,1; …; 0,7 сопоставлены 2015–2022 годам. Шкала t не интерпретируется как минуты развития одного пожара.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4 Численное решение и критерий</w:t>
      </w:r>
    </w:p>
    <w:p>
      <w:r>
        <w:rPr>
          <w:rFonts w:ascii="Times New Roman" w:hAnsi="Times New Roman" w:eastAsia="Times New Roman" w:cs="Times New Roman"/>
          <w:color w:val="000000"/>
        </w:rPr>
        <w:t>Основной метод — Рунге–Кутта четвёртого порядка (RK4). При n=200 шаг h=T/n. Для вектора правых частей F выполняются следующие вычисления: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k₁ = F(tₙ, Xₙ).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k₂ = F(tₙ+h/2, Xₙ+hk₁/2).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k₃ = F(tₙ+h/2, Xₙ+hk₂/2).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k₄ = F(tₙ+h, Xₙ+hk₃).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Xₙ₊₁ = Xₙ + h(k₁+2k₂+2k₃+k₄)/6.</w:t>
      </w:r>
    </w:p>
    <w:p>
      <w:r>
        <w:rPr>
          <w:rFonts w:ascii="Times New Roman" w:hAnsi="Times New Roman" w:eastAsia="Times New Roman" w:cs="Times New Roman"/>
          <w:color w:val="000000"/>
        </w:rPr>
        <w:t>Расчёт повторяется с 2n шагами; максимальное различие выводится в диагностике. Альтернативный метод RK45 реализован scipy.integrate.solve_ivp с относительной точностью 10⁻⁹ и абсолютной 10⁻¹¹. Для RK45 n задаёт сетку вывода, внутренний шаг выбирается автоматически.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J(T) = ∫₀ᵀ Σᵢ₌₁¹⁵ γᵢ[Xᵢ(t) − Xᵢ*]²dt.</w:t>
      </w:r>
    </w:p>
    <w:p>
      <w:r>
        <w:rPr>
          <w:rFonts w:ascii="Times New Roman" w:hAnsi="Times New Roman" w:eastAsia="Times New Roman" w:cs="Times New Roman"/>
          <w:color w:val="000000"/>
        </w:rPr>
        <w:t>По умолчанию цель X* — среднее нормированных наблюдений Excel, веса γ=1/15. Это выбранный статистический ориентир и равные веса, а не утверждённые нормы. J интегрируется одновременно с системой, J(0)=0. Он не выражается в рублях; меньший J означает меньшее отклонение от той же цели при тех же весах.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5 Результат основного примера</w:t>
      </w:r>
    </w:p>
    <w:p>
      <w:r>
        <w:rPr>
          <w:rFonts w:ascii="Times New Roman" w:hAnsi="Times New Roman" w:eastAsia="Times New Roman" w:cs="Times New Roman"/>
          <w:color w:val="000000"/>
        </w:rPr>
        <w:t>Приведены результаты численного решения при T=0,7, n=200. J(T)=0,093067630. Максимальное расхождение RK4 при удвоении числа шагов составляет 4.35e-14. Отрицательных состояний в этом расчёте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984"/>
        <w:gridCol w:w="2268"/>
        <w:gridCol w:w="4535"/>
      </w:tblGrid>
      <w:tr>
        <w:trPr>
          <w:cantSplit/>
          <w:tblHeader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X(0)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X(0,7)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Y(0,7)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1,398636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13 154,17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1,463544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16 043,37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1,129550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25 371 781,13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1,021029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1 983 583,25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0,609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0,668494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8 857 676,64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0,854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0,899322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777 755,49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1,057441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2 024 422,55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0,055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0,055197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3 187,70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0,204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0,804545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555 307,66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0,823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1,199141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1 064 471,43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0,172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0,171913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56 484,78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0,046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0,045885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11 431,84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0,598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0,668701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95 017,71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0,097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0,097000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229 822,10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1,242631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4 362 064,39</w:t>
            </w:r>
          </w:p>
        </w:tc>
      </w:tr>
    </w:tbl>
    <w:p>
      <w:r>
        <w:rPr>
          <w:rFonts w:ascii="Times New Roman" w:hAnsi="Times New Roman" w:eastAsia="Times New Roman" w:cs="Times New Roman"/>
          <w:color w:val="000000"/>
        </w:rPr>
        <w:t>В последнем столбце для X₁ и X₂ указаны люди, для X₃–X₁₅ — тысячи рублей. Значение X&gt;1 означает превышение максимума исходной выборки. Это экстраполяция модели, а не доказательство реального роста соответствующего ущерба.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6 Траектории показателей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705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1 — Нормированные показатели основного примера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7 Вычислительные эксперименты</w:t>
      </w:r>
    </w:p>
    <w:p>
      <w:r>
        <w:rPr>
          <w:rFonts w:ascii="Times New Roman" w:hAnsi="Times New Roman" w:eastAsia="Times New Roman" w:cs="Times New Roman"/>
          <w:color w:val="000000"/>
        </w:rPr>
        <w:t>Сравниваются пять начальных состояний: текущий пример статьи и строки статистики 2016, 2018, 2020, 2022 годов. Модель, интервал, цели и веса неизменны. Пользователь может изменить текущие числа в разделе «Расчёт» и заново выполнить серию. Случайные данные не используются.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Начальное состояние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X₃(T)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J(T)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Отрицательные X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Статья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1,129550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0,093068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2016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0,617219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0,048618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0,717471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0,074263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2020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0,978260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0,030302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2022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0,891437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0,061055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22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ter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2 — Критерий J для пяти начальных состояний</w:t>
      </w:r>
    </w:p>
    <w:p>
      <w:r>
        <w:rPr>
          <w:rFonts w:ascii="Times New Roman" w:hAnsi="Times New Roman" w:eastAsia="Times New Roman" w:cs="Times New Roman"/>
          <w:color w:val="000000"/>
        </w:rPr>
        <w:t>Ранжирование по J относится только к выбранным целям и весам. Оно не является оптимизацией плана противопожарных мероприятий: управляемые действия, цены и ограничения для такой задачи в комплекте не заданы.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8 Состояния по четвертям интервала</w:t>
      </w:r>
    </w:p>
    <w:p>
      <w:r>
        <w:rPr>
          <w:rFonts w:ascii="Times New Roman" w:hAnsi="Times New Roman" w:eastAsia="Times New Roman" w:cs="Times New Roman"/>
          <w:color w:val="000000"/>
        </w:rPr>
        <w:t>На лепестковых диаграммах оси X₁–X₁₅ безразмерны. Для всех рисунков установлен единый диапазон от 0 до 1,75. τ=t/T. Показаны четыре четверти интервала для всех пяти экспериментов; начальные данные доступны в калькуляторе.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5457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s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5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3 — Пример статьи, 2016 и 2018 годы</w:t>
      </w:r>
    </w:p>
    <w:p>
      <w:r>
        <w:rPr>
          <w:rFonts w:ascii="Times New Roman" w:hAnsi="Times New Roman" w:eastAsia="Times New Roman" w:cs="Times New Roman"/>
          <w:color w:val="000000"/>
        </w:rPr>
        <w:br w:type="page"/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</w:rPr>
        <w:drawing>
          <wp:inline xmlns:a="http://schemas.openxmlformats.org/drawingml/2006/main" xmlns:pic="http://schemas.openxmlformats.org/drawingml/2006/picture">
            <wp:extent cx="5940000" cy="3638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s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3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4"/>
        </w:rPr>
        <w:t>Рисунок 4 — 2020 и 2022 годы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9 Режим с внешними факторами</w:t>
      </w:r>
    </w:p>
    <w:p>
      <w:r>
        <w:rPr>
          <w:rFonts w:ascii="Times New Roman" w:hAnsi="Times New Roman" w:eastAsia="Times New Roman" w:cs="Times New Roman"/>
          <w:color w:val="000000"/>
        </w:rPr>
        <w:t>Для системы (3) матрица задаёт Eⱼ(t) = bⱼ + kⱼt, но не содержит значений b, k, единиц и шкал факторов. В папке преподавателя оказались побайтно те же три файла. В проверенных открытых источниках недостающие значения не найдены. Они остаются отдельными числовыми параметрами пользователя. Основной численный пример не содержит E: его запуск не означает подстановку E = 0.</w:t>
      </w:r>
    </w:p>
    <w:p>
      <w:r>
        <w:rPr>
          <w:rFonts w:ascii="Times New Roman" w:hAnsi="Times New Roman" w:eastAsia="Times New Roman" w:cs="Times New Roman"/>
          <w:color w:val="000000"/>
        </w:rPr>
        <w:t>В этом отдельном режиме используется система (3). Её 78 квадратичных зависимостей f(u)=β₀+β₁u+β₂u² заново оцениваются по Excel методом наименьших квадратов. Полные уравнения и коэффициенты доступны в разделе «Формулы и данные» и в файле method.html. Матрица показана отдельно, поскольку не во всём совпадает с системой (3).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10 Проверка и выводы</w:t>
      </w:r>
    </w:p>
    <w:p>
      <w:r>
        <w:rPr>
          <w:rFonts w:ascii="Times New Roman" w:hAnsi="Times New Roman" w:eastAsia="Times New Roman" w:cs="Times New Roman"/>
          <w:color w:val="000000"/>
        </w:rPr>
        <w:t>Матрица, символическая система (3), численный блок и таблица результатов статьи содержат несовпадения. Они не объединяются автоматически. Например, численный блок задаёт X₉′(0) = 0,791 + 0,374·0,609 − 0,421·0,609² = 0,862625099, тогда как таблица статьи сохраняет X₉ = 0,204. Поэтому результаты пересчитаны по напечатанным уравнениям, а не скопированы из таблицы.</w:t>
      </w:r>
    </w:p>
    <w:p>
      <w:r>
        <w:rPr>
          <w:rFonts w:ascii="Times New Roman" w:hAnsi="Times New Roman" w:eastAsia="Times New Roman" w:cs="Times New Roman"/>
          <w:color w:val="000000"/>
        </w:rPr>
        <w:t>Пройдено 13 автоматических проверок: исходные коэффициенты и начальные условия, единицы измерения, независимость двух режимов, отсутствие выдуманных E, валидация числового ввода, решение контрольной задачи, согласие RK4/RK45 и обновление первого эксперимента по текущим данным. Проверки подтверждают вычислительную реализацию; независимая точность прогноза для предприятия не установлена.</w:t>
      </w:r>
    </w:p>
    <w:p>
      <w:r>
        <w:rPr>
          <w:rFonts w:ascii="Times New Roman" w:hAnsi="Times New Roman" w:eastAsia="Times New Roman" w:cs="Times New Roman"/>
          <w:color w:val="000000"/>
        </w:rPr>
        <w:t>Калькулятор воспроизводит заданные уравнения и позволяет исследовать влияние начальных значений. Он не заменяет натурные измерения и не подтверждает автоматически оптимальность реального противопожарного плана. Отрицательные значения решений не обрезаются; при их появлении соответствующий участок не трактуется как фактический ущерб.</w:t>
      </w:r>
    </w:p>
    <w:p>
      <w:pPr>
        <w:pStyle w:val="Heading1"/>
      </w:pPr>
      <w:r>
        <w:rPr>
          <w:rFonts w:ascii="Times New Roman" w:hAnsi="Times New Roman" w:eastAsia="Times New Roman" w:cs="Times New Roman"/>
          <w:color w:val="000000"/>
        </w:rPr>
        <w:t>Источники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1. Материалы преподавателя: статистика, матрица, текст статьи. https://drive.google.com/drive/folders/16E50sw2qktwoKidohqLSN_WRUQ8epj_Q (проверено 28.10.2026).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2. Публикация MLSD2024, с. 408–412 (девять переменных). https://mlsd2024.ipu.ru/proceedings/0408.pdf (проверено 28.10.2026).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3. SciPy: solve_ivp / RK45. https://docs.scipy.org/doc/scipy/reference/generated/scipy.integrate.solve_ivp.html (проверено 28.10.2026).</w:t>
      </w:r>
    </w:p>
    <w:p>
      <w:pPr>
        <w:spacing w:line="240" w:lineRule="auto" w:after="8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4"/>
        </w:rPr>
        <w:t>4. NumPy: метод наименьших квадратов. https://numpy.org/doc/stable/reference/generated/numpy.linalg.lstsq.html (проверено 28.10.2026).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4"/>
    </w:pPr>
    <w:rPr>
      <w:rFonts w:asciiTheme="majorHAnsi" w:eastAsiaTheme="majorEastAsia" w:hAnsiTheme="majorHAnsi" w:cstheme="majorBidi" w:ascii="Times New Roman" w:hAnsi="Times New Roman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5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6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7"/>
    </w:pPr>
    <w:rPr>
      <w:rFonts w:asciiTheme="majorHAnsi" w:eastAsiaTheme="majorEastAsia" w:hAnsiTheme="majorHAnsi" w:cstheme="majorBidi" w:ascii="Times New Roman" w:hAnsi="Times New Roman"/>
      <w:color w:val="000000"/>
      <w:sz w:val="2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8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20" w:line="360" w:lineRule="auto"/>
      <w:ind w:left="720"/>
      <w:contextualSpacing/>
    </w:pPr>
    <w:rPr>
      <w:rFonts w:ascii="Times New Roman" w:hAnsi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120" w:line="360" w:lineRule="auto"/>
      <w:ind w:left="360" w:hanging="360"/>
      <w:contextualSpacing/>
    </w:pPr>
    <w:rPr>
      <w:rFonts w:ascii="Times New Roman" w:hAnsi="Times New Roman"/>
      <w:color w:val="000000"/>
      <w:sz w:val="28"/>
    </w:rPr>
  </w:style>
  <w:style w:type="paragraph" w:styleId="List2">
    <w:name w:val="List 2"/>
    <w:basedOn w:val="Normal"/>
    <w:uiPriority w:val="99"/>
    <w:unhideWhenUsed/>
    <w:rsid w:val="00326F90"/>
    <w:pPr>
      <w:spacing w:after="120" w:line="360" w:lineRule="auto"/>
      <w:ind w:left="720" w:hanging="360"/>
      <w:contextualSpacing/>
    </w:pPr>
    <w:rPr>
      <w:rFonts w:ascii="Times New Roman" w:hAnsi="Times New Roman"/>
      <w:color w:val="000000"/>
      <w:sz w:val="28"/>
    </w:rPr>
  </w:style>
  <w:style w:type="paragraph" w:styleId="List3">
    <w:name w:val="List 3"/>
    <w:basedOn w:val="Normal"/>
    <w:uiPriority w:val="99"/>
    <w:unhideWhenUsed/>
    <w:rsid w:val="00326F90"/>
    <w:pPr>
      <w:spacing w:after="120" w:line="360" w:lineRule="auto"/>
      <w:ind w:left="1080" w:hanging="360"/>
      <w:contextualSpacing/>
    </w:pPr>
    <w:rPr>
      <w:rFonts w:ascii="Times New Roman" w:hAnsi="Times New Roman"/>
      <w:color w:val="000000"/>
      <w:sz w:val="2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360" w:lineRule="auto"/>
      <w:ind w:left="360"/>
      <w:contextualSpacing/>
    </w:pPr>
    <w:rPr>
      <w:rFonts w:ascii="Times New Roman" w:hAnsi="Times New Roman"/>
      <w:color w:val="000000"/>
      <w:sz w:val="28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360" w:lineRule="auto"/>
      <w:ind w:left="720"/>
      <w:contextualSpacing/>
    </w:pPr>
    <w:rPr>
      <w:rFonts w:ascii="Times New Roman" w:hAnsi="Times New Roman"/>
      <w:color w:val="000000"/>
      <w:sz w:val="28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360" w:lineRule="auto"/>
      <w:ind w:left="1080"/>
      <w:contextualSpacing/>
    </w:pPr>
    <w:rPr>
      <w:rFonts w:ascii="Times New Roman" w:hAnsi="Times New Roman"/>
      <w:color w:val="000000"/>
      <w:sz w:val="28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60" w:lineRule="auto"/>
    </w:pPr>
    <w:rPr>
      <w:rFonts w:ascii="Times New Roman" w:hAnsi="Times New Roman"/>
      <w:color w:val="000000"/>
      <w:sz w:val="2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20" w:line="360" w:lineRule="auto"/>
    </w:pPr>
    <w:rPr>
      <w:rFonts w:ascii="Times New Roman" w:hAnsi="Times New Roman"/>
      <w:i/>
      <w:iCs/>
      <w:color w:val="000000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after="120"/>
    </w:pPr>
    <w:rPr>
      <w:rFonts w:ascii="Times New Roman" w:hAnsi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120" w:line="360" w:lineRule="auto"/>
      <w:ind w:left="936" w:right="936"/>
    </w:pPr>
    <w:rPr>
      <w:rFonts w:ascii="Times New Roman" w:hAnsi="Times New Roman"/>
      <w:b/>
      <w:bCs/>
      <w:i/>
      <w:iCs/>
      <w:color w:val="000000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outlineLvl w:val="9"/>
    </w:pPr>
    <w:rPr>
      <w:rFonts w:ascii="Times New Roman" w:hAnsi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Моделирование последствий пожара</dc:title>
  <dc:subject>Система Путилова из 15 уравнений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