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Times New Roman" w:hAnsi="Times New Roman" w:eastAsia="Times New Roman" w:cs="Times New Roman"/>
        </w:rPr>
        <w:t>Лабораторная работа 2</w:t>
      </w:r>
    </w:p>
    <w:p>
      <w:pPr>
        <w:pStyle w:val="Title"/>
      </w:pPr>
      <w:r>
        <w:rPr>
          <w:rFonts w:ascii="Times New Roman" w:hAnsi="Times New Roman" w:eastAsia="Times New Roman" w:cs="Times New Roman"/>
        </w:rPr>
        <w:t>Моделирование последствий пожара на основе системы дифференциальных уравнений</w:t>
      </w:r>
    </w:p>
    <w:p>
      <w:pPr>
        <w:pStyle w:val="Heading1"/>
      </w:pPr>
      <w:r>
        <w:rPr>
          <w:rFonts w:ascii="Times New Roman" w:hAnsi="Times New Roman" w:eastAsia="Times New Roman" w:cs="Times New Roman"/>
        </w:rPr>
        <w:t>1 Цель и исходные материалы</w:t>
      </w:r>
    </w:p>
    <w:p>
      <w:r>
        <w:rPr>
          <w:rFonts w:ascii="Times New Roman" w:hAnsi="Times New Roman" w:eastAsia="Times New Roman" w:cs="Times New Roman"/>
        </w:rPr>
        <w:t>Разработан калькулятор для численного решения системы Путилова из 15 дифференциальных уравнений. Программа позволяет вводить начальные состояния, изменять зависимости и внешние факторы, строить траектории и лепестковые диаграммы, рассчитывать интегральный критерий и сравнивать вычислительные эксперименты.</w:t>
      </w:r>
    </w:p>
    <w:p>
      <w:r>
        <w:rPr>
          <w:rFonts w:ascii="Times New Roman" w:hAnsi="Times New Roman" w:eastAsia="Times New Roman" w:cs="Times New Roman"/>
        </w:rPr>
        <w:t>Исходный комплект включает три уникальных файла: статистику, матрицу связей и текст статьи. Файлы с суффиксом «(1)» побайтно совпадают с соответствующими основными файлами. Статистика содержит восемь годовых наблюдений за 2015–2022 годы. Система (3) Word содержит пятнадцать переменных X, пять внешних факторов E и 78 функций f.</w:t>
      </w:r>
    </w:p>
    <w:p>
      <w:r>
        <w:rPr>
          <w:rFonts w:ascii="Times New Roman" w:hAnsi="Times New Roman" w:eastAsia="Times New Roman" w:cs="Times New Roman"/>
        </w:rPr>
        <w:t>Расчёт реализует именно систему (3). Матрица Excel, последующая численная система Word и таблица его результатов содержат несовпадения. Они рассматриваются как отдельные исходные представления и не объединяются незаметно в одну модель. Коэффициенты квадратичных функций вычислены по статистике методом наименьших квадратов. Отсутствующие значения E не выдаются за известные.</w:t>
      </w:r>
    </w:p>
    <w:p>
      <w:pPr>
        <w:pStyle w:val="Heading1"/>
      </w:pPr>
      <w:r>
        <w:rPr>
          <w:rFonts w:ascii="Times New Roman" w:hAnsi="Times New Roman" w:eastAsia="Times New Roman" w:cs="Times New Roman"/>
        </w:rPr>
        <w:t>2 Показатели и единицы измерения</w:t>
      </w:r>
    </w:p>
    <w:p>
      <w:r>
        <w:rPr>
          <w:rFonts w:ascii="Times New Roman" w:hAnsi="Times New Roman" w:eastAsia="Times New Roman" w:cs="Times New Roman"/>
        </w:rPr>
        <w:t>Первые два показателя относятся к людям. Остальные столбцы Excel измеряются в тысячах рублей. Названия причин пожаров в X₄–X₁₅ обозначают соответствующие денежные потери, а не число происшествий. Общий прямой ущерб X₃ не складывается с потерями по причинам как с независимыми величинами.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50"/>
        <w:gridCol w:w="4819"/>
        <w:gridCol w:w="1417"/>
        <w:gridCol w:w="2551"/>
      </w:tblGrid>
      <w:tr>
        <w:trPr>
          <w:cantSplit/>
          <w:tblHeader/>
        </w:trPr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/>
                <w:color w:val="000000"/>
                <w:sz w:val="24"/>
              </w:rPr>
              <w:t>X</w:t>
            </w:r>
          </w:p>
        </w:tc>
        <w:tc>
          <w:tcPr>
            <w:tcW w:type="dxa" w:w="481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/>
                <w:color w:val="000000"/>
                <w:sz w:val="24"/>
              </w:rPr>
              <w:t>Показатель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/>
                <w:color w:val="000000"/>
                <w:sz w:val="24"/>
              </w:rPr>
              <w:t>Ед.</w:t>
            </w:r>
          </w:p>
        </w:tc>
        <w:tc>
          <w:tcPr>
            <w:tcW w:type="dxa" w:w="25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/>
                <w:color w:val="000000"/>
                <w:sz w:val="24"/>
              </w:rPr>
              <w:t>Максимум M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X1</w:t>
            </w:r>
          </w:p>
        </w:tc>
        <w:tc>
          <w:tcPr>
            <w:tcW w:type="dxa" w:w="481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Погибшие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чел.</w:t>
            </w:r>
          </w:p>
        </w:tc>
        <w:tc>
          <w:tcPr>
            <w:tcW w:type="dxa" w:w="25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9 405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X2</w:t>
            </w:r>
          </w:p>
        </w:tc>
        <w:tc>
          <w:tcPr>
            <w:tcW w:type="dxa" w:w="481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Травмированные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чел.</w:t>
            </w:r>
          </w:p>
        </w:tc>
        <w:tc>
          <w:tcPr>
            <w:tcW w:type="dxa" w:w="25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10 962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X3</w:t>
            </w:r>
          </w:p>
        </w:tc>
        <w:tc>
          <w:tcPr>
            <w:tcW w:type="dxa" w:w="481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Прямой ущерб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тыс. руб.</w:t>
            </w:r>
          </w:p>
        </w:tc>
        <w:tc>
          <w:tcPr>
            <w:tcW w:type="dxa" w:w="25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22 461 847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X4</w:t>
            </w:r>
          </w:p>
        </w:tc>
        <w:tc>
          <w:tcPr>
            <w:tcW w:type="dxa" w:w="481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Производственное оборудование и техпроцесс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тыс. руб.</w:t>
            </w:r>
          </w:p>
        </w:tc>
        <w:tc>
          <w:tcPr>
            <w:tcW w:type="dxa" w:w="25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1 942 729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X5</w:t>
            </w:r>
          </w:p>
        </w:tc>
        <w:tc>
          <w:tcPr>
            <w:tcW w:type="dxa" w:w="481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Электрооборудование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тыс. руб.</w:t>
            </w:r>
          </w:p>
        </w:tc>
        <w:tc>
          <w:tcPr>
            <w:tcW w:type="dxa" w:w="25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13 250 190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X6</w:t>
            </w:r>
          </w:p>
        </w:tc>
        <w:tc>
          <w:tcPr>
            <w:tcW w:type="dxa" w:w="481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Газовое оборудование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тыс. руб.</w:t>
            </w:r>
          </w:p>
        </w:tc>
        <w:tc>
          <w:tcPr>
            <w:tcW w:type="dxa" w:w="25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864 824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X7</w:t>
            </w:r>
          </w:p>
        </w:tc>
        <w:tc>
          <w:tcPr>
            <w:tcW w:type="dxa" w:w="481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Электрогазосварочные работы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тыс. руб.</w:t>
            </w:r>
          </w:p>
        </w:tc>
        <w:tc>
          <w:tcPr>
            <w:tcW w:type="dxa" w:w="25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1 914 455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X8</w:t>
            </w:r>
          </w:p>
        </w:tc>
        <w:tc>
          <w:tcPr>
            <w:tcW w:type="dxa" w:w="481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Взрывы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тыс. руб.</w:t>
            </w:r>
          </w:p>
        </w:tc>
        <w:tc>
          <w:tcPr>
            <w:tcW w:type="dxa" w:w="25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57 751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X9</w:t>
            </w:r>
          </w:p>
        </w:tc>
        <w:tc>
          <w:tcPr>
            <w:tcW w:type="dxa" w:w="481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Самовозгорание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тыс. руб.</w:t>
            </w:r>
          </w:p>
        </w:tc>
        <w:tc>
          <w:tcPr>
            <w:tcW w:type="dxa" w:w="25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690 213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X10</w:t>
            </w:r>
          </w:p>
        </w:tc>
        <w:tc>
          <w:tcPr>
            <w:tcW w:type="dxa" w:w="481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Печи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тыс. руб.</w:t>
            </w:r>
          </w:p>
        </w:tc>
        <w:tc>
          <w:tcPr>
            <w:tcW w:type="dxa" w:w="25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887 695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X11</w:t>
            </w:r>
          </w:p>
        </w:tc>
        <w:tc>
          <w:tcPr>
            <w:tcW w:type="dxa" w:w="481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Теплогенерирующие установки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тыс. руб.</w:t>
            </w:r>
          </w:p>
        </w:tc>
        <w:tc>
          <w:tcPr>
            <w:tcW w:type="dxa" w:w="25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328 566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X12</w:t>
            </w:r>
          </w:p>
        </w:tc>
        <w:tc>
          <w:tcPr>
            <w:tcW w:type="dxa" w:w="481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Огневые работы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тыс. руб.</w:t>
            </w:r>
          </w:p>
        </w:tc>
        <w:tc>
          <w:tcPr>
            <w:tcW w:type="dxa" w:w="25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249 142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X13</w:t>
            </w:r>
          </w:p>
        </w:tc>
        <w:tc>
          <w:tcPr>
            <w:tcW w:type="dxa" w:w="481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Грозовые разряды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тыс. руб.</w:t>
            </w:r>
          </w:p>
        </w:tc>
        <w:tc>
          <w:tcPr>
            <w:tcW w:type="dxa" w:w="25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142 093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X14</w:t>
            </w:r>
          </w:p>
        </w:tc>
        <w:tc>
          <w:tcPr>
            <w:tcW w:type="dxa" w:w="481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Неустановленные причины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тыс. руб.</w:t>
            </w:r>
          </w:p>
        </w:tc>
        <w:tc>
          <w:tcPr>
            <w:tcW w:type="dxa" w:w="25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2 369 300</w:t>
            </w:r>
          </w:p>
        </w:tc>
      </w:tr>
      <w:tr>
        <w:trPr>
          <w:cantSplit/>
        </w:trPr>
        <w:tc>
          <w:tcPr>
            <w:tcW w:type="dxa" w:w="850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X15</w:t>
            </w:r>
          </w:p>
        </w:tc>
        <w:tc>
          <w:tcPr>
            <w:tcW w:type="dxa" w:w="481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Поджог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тыс. руб.</w:t>
            </w:r>
          </w:p>
        </w:tc>
        <w:tc>
          <w:tcPr>
            <w:tcW w:type="dxa" w:w="255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3 510 346</w:t>
            </w:r>
          </w:p>
        </w:tc>
      </w:tr>
    </w:tbl>
    <w:p>
      <w:pPr>
        <w:pStyle w:val="Heading1"/>
      </w:pPr>
      <w:r>
        <w:rPr>
          <w:rFonts w:ascii="Times New Roman" w:hAnsi="Times New Roman" w:eastAsia="Times New Roman" w:cs="Times New Roman"/>
        </w:rPr>
        <w:t>3 Нормировка и регрессионные зависимости</w:t>
      </w:r>
    </w:p>
    <w:p>
      <w:r>
        <w:rPr>
          <w:rFonts w:ascii="Times New Roman" w:hAnsi="Times New Roman" w:eastAsia="Times New Roman" w:cs="Times New Roman"/>
        </w:rPr>
        <w:t>Нормировка повторяет формулы листа «norm data»: каждое наблюдение делится на максимум своего столбца за 2015–2022 годы. Обозначим исходное значение через Y, нормированное — через X. Максимум выборки служит масштабом, а не нормативом безопасности.</w:t>
      </w:r>
    </w:p>
    <w:p>
      <w:pPr>
        <w:spacing w:line="276" w:lineRule="auto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Mᵢ = max Yᵢ;  Xᵢ = Yᵢ / Mᵢ;  Yᵢ = MᵢXᵢ.</w:t>
      </w:r>
    </w:p>
    <w:p>
      <w:r>
        <w:rPr>
          <w:rFonts w:ascii="Times New Roman" w:hAnsi="Times New Roman" w:eastAsia="Times New Roman" w:cs="Times New Roman"/>
        </w:rPr>
        <w:t>Для каждой связи с аргументом Xⱼ и получателем Xᵢ определяется отдельная квадратичная функция. Коэффициенты минимизируют сумму квадратов отклонений восьми наблюдений Xᵢ от вычисленных значений f(Xⱼ). Программа использует numpy.linalg.lstsq с матрицей столбцов 1, Xⱼ, Xⱼ². Полный набор коэффициентов приведён в приложении.</w:t>
      </w:r>
    </w:p>
    <w:p>
      <w:pPr>
        <w:spacing w:line="276" w:lineRule="auto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f(u) = β₀ + β₁u + β₂u².</w:t>
      </w:r>
    </w:p>
    <w:p>
      <w:pPr>
        <w:spacing w:line="276" w:lineRule="auto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β = arg min Σₙ₌₁⁸ [Xᵢ,ₙ − β₀ − β₁Xⱼ,ₙ − β₂Xⱼ,ₙ²]².</w:t>
      </w:r>
    </w:p>
    <w:p>
      <w:pPr>
        <w:spacing w:line="276" w:lineRule="auto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R² = 1 − Σₙ(Xᵢ,ₙ − f(Xⱼ,ₙ))² / Σₙ(Xᵢ,ₙ − mean(Xᵢ))².</w:t>
      </w:r>
    </w:p>
    <w:p>
      <w:r>
        <w:rPr>
          <w:rFonts w:ascii="Times New Roman" w:hAnsi="Times New Roman" w:eastAsia="Times New Roman" w:cs="Times New Roman"/>
        </w:rPr>
        <w:t>Проверочный пример: для f₇(X₅), входящей в уравнение X₂, получены коэффициенты 0,791094; 0,373947; −0,420940, что воспроизводит округлённый пример статьи. R² этой зависимости равен 0,301533. Для f₄₇(X₅), входящей в другое уравнение X₉, коэффициенты отличаются: −2,104155; 7,561223; −5,129131. Использовать для неё коэффициенты f₇ было бы неверно.</w:t>
      </w:r>
    </w:p>
    <w:p>
      <w:r>
        <w:rPr>
          <w:rFonts w:ascii="Times New Roman" w:hAnsi="Times New Roman" w:eastAsia="Times New Roman" w:cs="Times New Roman"/>
        </w:rPr>
        <w:t>По 78 зависимостям минимальное R² равно 0,002676, медиана — 0,224757. Утверждение текста о R² около 0,7–0,8 для большинства функций по предоставленной таблице не подтверждается. Корреляционная аппроксимация сама по себе не доказывает причинную связь или точность динамического прогноза.</w:t>
      </w:r>
    </w:p>
    <w:p>
      <w:pPr>
        <w:pStyle w:val="Heading1"/>
      </w:pPr>
      <w:r>
        <w:rPr>
          <w:rFonts w:ascii="Times New Roman" w:hAnsi="Times New Roman" w:eastAsia="Times New Roman" w:cs="Times New Roman"/>
        </w:rPr>
        <w:t>4 Система дифференциальных уравнений</w:t>
      </w:r>
    </w:p>
    <w:p>
      <w:r>
        <w:rPr>
          <w:rFonts w:ascii="Times New Roman" w:hAnsi="Times New Roman" w:eastAsia="Times New Roman" w:cs="Times New Roman"/>
        </w:rPr>
        <w:t>Ниже приведена полная структура системы (3). В первой строке исходного Word индекс X₁ пропущен; он восстановлен по порядку переменных. Дополнительный нормировочный делитель из общей формулы (2) не вводился, так как в конкретной системе (3) его нет. Время t — машинное; исходный текст сопоставляет 0; 0,1; …; 0,7 с 2015–2022 годами.</w:t>
      </w:r>
    </w:p>
    <w:p>
      <w:pPr>
        <w:spacing w:line="276" w:lineRule="auto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dX₁/dt = f₁(X₅) · f₂(X₆) · f₃(X₉) · f₄(X₁₀) · f₅(X₁₃) · f₆(X₁₅) · (E₁) − (E₂ + E₅)</w:t>
      </w:r>
    </w:p>
    <w:p>
      <w:pPr>
        <w:spacing w:line="276" w:lineRule="auto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dX₂/dt = f₇(X₅) · f₈(X₁₀) · f₉(X₁₃) · f₁₀(X₁₅) · (E₁) − (E₂ + E₅)</w:t>
      </w:r>
    </w:p>
    <w:p>
      <w:pPr>
        <w:spacing w:line="276" w:lineRule="auto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dX₃/dt = f₁₁(X₄) · f₁₂(X₅) · f₁₃(X₆) · f₁₄(X₇) · f₁₅(X₈) · f₁₆(X₉) · f₁₇(X₁₁) · f₁₈(X₁₂) · f₁₉(X₁₃) · f₂₀(X₁₄) · f₂₁(X₁₅) · (E₁) − (E₂)</w:t>
      </w:r>
    </w:p>
    <w:p>
      <w:pPr>
        <w:spacing w:line="276" w:lineRule="auto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dX₄/dt = f₂₂(X₅) · f₂₃(X₇) · f₂₄(X₉) · f₂₅(X₁₁) · f₂₆(X₁₂) · f₂₇(X₁₄) · (E₄) − (E₅)</w:t>
      </w:r>
    </w:p>
    <w:p>
      <w:pPr>
        <w:spacing w:line="276" w:lineRule="auto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dX₅/dt = f₂₈(X₄) · f₂₉(X₇) · f₃₀(X₈) · f₃₁(X₁₁) · (E₄) − f₃₂(X₁₄)</w:t>
      </w:r>
    </w:p>
    <w:p>
      <w:pPr>
        <w:spacing w:line="276" w:lineRule="auto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dX₆/dt = f₃₃(X₄) · f₃₄(X₇) · f₃₅(X₈) · f₃₆(X₁₁) · f₃₇(X₁₃) · (E₃ + E₄) − (E₅)</w:t>
      </w:r>
    </w:p>
    <w:p>
      <w:pPr>
        <w:spacing w:line="276" w:lineRule="auto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dX₇/dt = f₃₈(X₆) · f₃₉(X₁₁) · f₄₀(X₁₅) · (E₃ + E₄) − f₄₁(X₁₄)</w:t>
      </w:r>
    </w:p>
    <w:p>
      <w:pPr>
        <w:spacing w:line="276" w:lineRule="auto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dX₈/dt = f₄₂(X₇) · f₄₃(X₉) · f₄₄(X₁₁) · f₄₅(X₁₅) · (E₁ + E₃) − f₄₆(X₁₄)</w:t>
      </w:r>
    </w:p>
    <w:p>
      <w:pPr>
        <w:spacing w:line="276" w:lineRule="auto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dX₉/dt = f₄₇(X₅) · (E₃ + E₄) − 0</w:t>
      </w:r>
    </w:p>
    <w:p>
      <w:pPr>
        <w:spacing w:line="276" w:lineRule="auto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dX₁₀/dt = f₄₈(X₄) · f₄₉(X₇) · f₅₀(X₈) · f₅₁(X₁₂) · (E₄) − 0</w:t>
      </w:r>
    </w:p>
    <w:p>
      <w:pPr>
        <w:spacing w:line="276" w:lineRule="auto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dX₁₁/dt = f₅₂(X₄) · f₅₃(X₅) · f₅₄(X₇) · f₅₅(X₁₅) · (E₄) − f₅₆(X₁₄) · (E₅)</w:t>
      </w:r>
    </w:p>
    <w:p>
      <w:pPr>
        <w:spacing w:line="276" w:lineRule="auto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dX₁₂/dt = f₅₇(X₄) · f₅₈(X₁₅) · (E₃ + E₄) − f₅₉(X₁₄) · (E₅)</w:t>
      </w:r>
    </w:p>
    <w:p>
      <w:pPr>
        <w:spacing w:line="276" w:lineRule="auto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dX₁₃/dt = f₆₀(X₄) · f₆₁(X₈) · f₆₂(X₁₂) · (E₁ + E₃) − 0</w:t>
      </w:r>
    </w:p>
    <w:p>
      <w:pPr>
        <w:spacing w:line="276" w:lineRule="auto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dX₁₄/dt = f₆₃(X₈) · f₆₄(X₉) · f₆₅(X₁₃) · (E₁) − f₆₆(X₄) · f₆₇(X₅) · f₆₈(X₆) · f₆₉(X₇) · f₇₀(X₁₁) · f₇₁(X₁₂) · f₇₂(X₁₄) · (E₅)</w:t>
      </w:r>
    </w:p>
    <w:p>
      <w:pPr>
        <w:spacing w:line="276" w:lineRule="auto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dX₁₅/dt = f₇₃(X₆) · f₇₄(X₇) · f₇₅(X₈) · f₇₆(X₉) · f₇₇(X₁₁) · (E₁) − f₇₈(X₁₅)</w:t>
      </w:r>
    </w:p>
    <w:p>
      <w:r>
        <w:rPr>
          <w:rFonts w:ascii="Times New Roman" w:hAnsi="Times New Roman" w:eastAsia="Times New Roman" w:cs="Times New Roman"/>
        </w:rPr>
        <w:t>Обозначения положительного и вычитаемого членов отражают структуру уравнений. Квадратичные регрессии без ограничений могут принимать отрицательные значения; система не гарантирует сохранение неотрицательности X. Программа не меняет правые части для принудительного ограничения результата.</w:t>
      </w:r>
    </w:p>
    <w:p>
      <w:pPr>
        <w:pStyle w:val="Heading1"/>
      </w:pPr>
      <w:r>
        <w:rPr>
          <w:rFonts w:ascii="Times New Roman" w:hAnsi="Times New Roman" w:eastAsia="Times New Roman" w:cs="Times New Roman"/>
        </w:rPr>
        <w:t>5 Внешние факторы и критерий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8504"/>
      </w:tblGrid>
      <w:tr>
        <w:trPr>
          <w:cantSplit/>
          <w:tblHeader/>
        </w:trPr>
        <w:tc>
          <w:tcPr>
            <w:tcW w:type="dxa" w:w="113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/>
                <w:color w:val="000000"/>
                <w:sz w:val="24"/>
              </w:rPr>
              <w:t>Фактор</w:t>
            </w:r>
          </w:p>
        </w:tc>
        <w:tc>
          <w:tcPr>
            <w:tcW w:type="dxa" w:w="850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/>
                <w:color w:val="000000"/>
                <w:sz w:val="24"/>
              </w:rPr>
              <w:t>Содержание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E1</w:t>
            </w:r>
          </w:p>
        </w:tc>
        <w:tc>
          <w:tcPr>
            <w:tcW w:type="dxa" w:w="850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Объем аварийно-химически опасных веществ на предприятии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E2</w:t>
            </w:r>
          </w:p>
        </w:tc>
        <w:tc>
          <w:tcPr>
            <w:tcW w:type="dxa" w:w="850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Количество задействованных (доступных) сил пожарной охраны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E3</w:t>
            </w:r>
          </w:p>
        </w:tc>
        <w:tc>
          <w:tcPr>
            <w:tcW w:type="dxa" w:w="850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Климатический район предприятия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E4</w:t>
            </w:r>
          </w:p>
        </w:tc>
        <w:tc>
          <w:tcPr>
            <w:tcW w:type="dxa" w:w="850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Цены на оборудование</w:t>
            </w:r>
          </w:p>
        </w:tc>
      </w:tr>
      <w:tr>
        <w:trPr>
          <w:cantSplit/>
        </w:trPr>
        <w:tc>
          <w:tcPr>
            <w:tcW w:type="dxa" w:w="113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E5</w:t>
            </w:r>
          </w:p>
        </w:tc>
        <w:tc>
          <w:tcPr>
            <w:tcW w:type="dxa" w:w="850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Количество инструктажей пожарной безопасности</w:t>
            </w:r>
          </w:p>
        </w:tc>
      </w:tr>
    </w:tbl>
    <w:p>
      <w:r>
        <w:rPr>
          <w:rFonts w:ascii="Times New Roman" w:hAnsi="Times New Roman" w:eastAsia="Times New Roman" w:cs="Times New Roman"/>
        </w:rPr>
        <w:t>В Q18:U19 матрицы указан вид Eⱼ(t) = kⱼt + bⱼ. Коэффициенты kⱼ и bⱼ, шкалы факторов, их временные ряды и способ численного кодирования климатического района отсутствуют. Калькулятор требует явного ввода всех пяти функций. Вводимые числа являются параметрами пользователя, а не восстановленными данными авторов.</w:t>
      </w:r>
    </w:p>
    <w:p>
      <w:pPr>
        <w:spacing w:line="276" w:lineRule="auto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J(T) = ∫₀ᵀ Σᵢ₌₁¹⁵ γᵢ[Xᵢ(t) − Xᵢ*]² dt.</w:t>
      </w:r>
    </w:p>
    <w:p>
      <w:r>
        <w:rPr>
          <w:rFonts w:ascii="Times New Roman" w:hAnsi="Times New Roman" w:eastAsia="Times New Roman" w:cs="Times New Roman"/>
        </w:rPr>
        <w:t>Критерий J соответствует интегральному отклонению показателей от заданного состояния. В контрольном расчёте γᵢ = 1/15, а Xᵢ* равны средним нормированным значениям из листа «Limit values». Это явно выбранный статистический ориентир, а не допустимые значения из нормативного акта. J не имеет единицы «рубль». Цели и веса доступны для изменения.</w:t>
      </w:r>
    </w:p>
    <w:p>
      <w:r>
        <w:rPr>
          <w:rFonts w:ascii="Times New Roman" w:hAnsi="Times New Roman" w:eastAsia="Times New Roman" w:cs="Times New Roman"/>
        </w:rPr>
        <w:t>Задача выбора оптимального реального плана не решается без определённых управляемых параметров, допустимых диапазонов, стоимости и физических шкал E. Сравнение начальных состояний в данной работе является вычислительным экспериментом, а не доказанным оптимальным распределением пожарных сил.</w:t>
      </w:r>
    </w:p>
    <w:p>
      <w:pPr>
        <w:pStyle w:val="Heading1"/>
      </w:pPr>
      <w:r>
        <w:rPr>
          <w:rFonts w:ascii="Times New Roman" w:hAnsi="Times New Roman" w:eastAsia="Times New Roman" w:cs="Times New Roman"/>
        </w:rPr>
        <w:t>6 Численный метод и программная реализация</w:t>
      </w:r>
    </w:p>
    <w:p>
      <w:r>
        <w:rPr>
          <w:rFonts w:ascii="Times New Roman" w:hAnsi="Times New Roman" w:eastAsia="Times New Roman" w:cs="Times New Roman"/>
        </w:rPr>
        <w:t>Основной метод — классический Рунге–Кутта четвёртого порядка на Python и NumPy. При T = 0,7 и n = 200 шаг равен 0,0035. Для проверки сходимости расчёт повторяется с n = 400. Альтернативно доступен scipy.integrate.solve_ivp с RK45 и допусками rtol = 10⁻⁹, atol = 10⁻¹¹. Интеграл J вычисляется совместно с системой как дополнительная переменная с нулевым начальным значением.</w:t>
      </w:r>
    </w:p>
    <w:p>
      <w:pPr>
        <w:spacing w:line="276" w:lineRule="auto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h = T/n;  k₁ = F(tₙ, Xₙ);</w:t>
      </w:r>
    </w:p>
    <w:p>
      <w:pPr>
        <w:spacing w:line="276" w:lineRule="auto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k₂ = F(tₙ + h/2, Xₙ + hk₁/2);</w:t>
      </w:r>
    </w:p>
    <w:p>
      <w:pPr>
        <w:spacing w:line="276" w:lineRule="auto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k₃ = F(tₙ + h/2, Xₙ + hk₂/2);</w:t>
      </w:r>
    </w:p>
    <w:p>
      <w:pPr>
        <w:spacing w:line="276" w:lineRule="auto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k₄ = F(tₙ + h, Xₙ + hk₃);</w:t>
      </w:r>
    </w:p>
    <w:p>
      <w:pPr>
        <w:spacing w:line="276" w:lineRule="auto"/>
        <w:ind w:firstLine="0"/>
        <w:jc w:val="left"/>
      </w:pPr>
      <w:r>
        <w:rPr>
          <w:rFonts w:ascii="Times New Roman" w:hAnsi="Times New Roman" w:eastAsia="Times New Roman" w:cs="Times New Roman"/>
          <w:sz w:val="24"/>
        </w:rPr>
        <w:t>Xₙ₊₁ = Xₙ + h(k₁ + 2k₂ + 2k₃ + k₄)/6.</w:t>
      </w:r>
    </w:p>
    <w:p>
      <w:r>
        <w:rPr>
          <w:rFonts w:ascii="Times New Roman" w:hAnsi="Times New Roman" w:eastAsia="Times New Roman" w:cs="Times New Roman"/>
        </w:rPr>
        <w:t>В браузере Python запускается через Pyodide в отдельном Worker. При первом запуске требуется интернет для загрузки Python и SciPy. Локальный сервер использует тот же model.py и после установки зависимостей работает без интернет-загрузки вычислителя. Пользовательские формулы разбираются ограниченным синтаксическим анализатором; выполнение произвольного Python-кода запрещено.</w:t>
      </w:r>
    </w:p>
    <w:p>
      <w:r>
        <w:rPr>
          <w:rFonts w:ascii="Times New Roman" w:hAnsi="Times New Roman" w:eastAsia="Times New Roman" w:cs="Times New Roman"/>
        </w:rPr>
        <w:t>Пройдены 11 автоматических проверок, включая аналитическое решение X′ = −X, интеграл J для этого решения, порядок сходимости RK4, согласованность с RK45, знаки и группировки E во всех 15 уравнениях, коэффициенты f₇, единицы нормировки, передачу текущих формул в эксперименты и сохранение отрицательных результатов. Эти проверки подтверждают реализацию, но не научную адекватность исходной модели.</w:t>
      </w:r>
    </w:p>
    <w:p>
      <w:pPr>
        <w:pStyle w:val="Heading1"/>
      </w:pPr>
      <w:r>
        <w:rPr>
          <w:rFonts w:ascii="Times New Roman" w:hAnsi="Times New Roman" w:eastAsia="Times New Roman" w:cs="Times New Roman"/>
        </w:rPr>
        <w:t>7 Вычислительные эксперименты</w:t>
      </w:r>
    </w:p>
    <w:p>
      <w:r>
        <w:rPr>
          <w:rFonts w:ascii="Times New Roman" w:hAnsi="Times New Roman" w:eastAsia="Times New Roman" w:cs="Times New Roman"/>
        </w:rPr>
        <w:t>Для воспроизводимого контроля программы явно принято E₁(t) = … = E₅(t) = 0. Это математическое тестовое условие; оно не описывает реальную обстановку и не взято из материалов как измеренные коэффициенты. Уравнения и полиномы остаются исходными. Начальные состояния взяты из строк Excel за 2015, 2016, 2018, 2020 и 2022 годы. Выбор пяти строк задаёт серию чувствительности к начальному состоянию; одинаковое машинное время не означает одинаковый календарный прогноз для этих строк.</w:t>
      </w:r>
    </w:p>
    <w:p>
      <w:r>
        <w:rPr>
          <w:rFonts w:ascii="Times New Roman" w:hAnsi="Times New Roman" w:eastAsia="Times New Roman" w:cs="Times New Roman"/>
        </w:rPr>
        <w:t>Для каждого расчёта рассматриваются четыре четверти интервала τ = t/T: 0,25; 0,50; 0,75; 1,00. Нормировка по максимумам Excel едина для всех серий. Отрицательные X не удаляются из таблиц и графиков; на соответствующих лепестковых панелях вместо физически недопустимой диаграммы приводится сообщение.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2835"/>
        <w:gridCol w:w="3402"/>
      </w:tblGrid>
      <w:tr>
        <w:trPr>
          <w:cantSplit/>
          <w:tblHeader/>
        </w:trPr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/>
                <w:color w:val="000000"/>
                <w:sz w:val="24"/>
              </w:rPr>
              <w:t>Начальное состояние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/>
                <w:color w:val="000000"/>
                <w:sz w:val="24"/>
              </w:rPr>
              <w:t>J(T)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/>
                <w:color w:val="000000"/>
                <w:sz w:val="24"/>
              </w:rPr>
              <w:t>Отрицательные X</w:t>
            </w:r>
          </w:p>
        </w:tc>
        <w:tc>
          <w:tcPr>
            <w:tcW w:type="dxa" w:w="340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/>
                <w:color w:val="000000"/>
                <w:sz w:val="24"/>
              </w:rPr>
              <w:t>Первый отрицательный узел t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2015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0,063997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X8</w:t>
            </w:r>
          </w:p>
        </w:tc>
        <w:tc>
          <w:tcPr>
            <w:tcW w:type="dxa" w:w="340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0,511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2016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0,047149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Нет</w:t>
            </w:r>
          </w:p>
        </w:tc>
        <w:tc>
          <w:tcPr>
            <w:tcW w:type="dxa" w:w="340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2018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0,068756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X5, X7</w:t>
            </w:r>
          </w:p>
        </w:tc>
        <w:tc>
          <w:tcPr>
            <w:tcW w:type="dxa" w:w="340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0,1505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2020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0,026938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Нет</w:t>
            </w:r>
          </w:p>
        </w:tc>
        <w:tc>
          <w:tcPr>
            <w:tcW w:type="dxa" w:w="340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—</w:t>
            </w:r>
          </w:p>
        </w:tc>
      </w:tr>
      <w:tr>
        <w:trPr>
          <w:cantSplit/>
        </w:trPr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2022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0,036748</w:t>
            </w:r>
          </w:p>
        </w:tc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X7</w:t>
            </w:r>
          </w:p>
        </w:tc>
        <w:tc>
          <w:tcPr>
            <w:tcW w:type="dxa" w:w="3402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0,5145</w:t>
            </w:r>
          </w:p>
        </w:tc>
      </w:tr>
    </w:tbl>
    <w:p>
      <w:r>
        <w:rPr>
          <w:rFonts w:ascii="Times New Roman" w:hAnsi="Times New Roman" w:eastAsia="Times New Roman" w:cs="Times New Roman"/>
        </w:rPr>
        <w:t>Первый отрицательный узел — точка вычислительной сетки, а не точное время пересечения нуля. Для всех пяти контролей максимальное изменение решения и J при удвоении числа шагов составляет менее 5·10⁻¹³. Это показывает, что отрицательные состояния в данном контроле не устраняются простым уменьшением шага.</w:t>
      </w:r>
    </w:p>
    <w:p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</w:pPr>
      <w:r>
        <w:rPr>
          <w:rFonts w:ascii="Times New Roman" w:hAnsi="Times New Roman" w:eastAsia="Times New Roman" w:cs="Times New Roman"/>
        </w:rPr>
        <w:t>Траектории контрольного расчёта</w:t>
      </w:r>
    </w:p>
    <w:p>
      <w:pPr>
        <w:keepNext/>
        <w:ind w:firstLine="0"/>
        <w:jc w:val="center"/>
      </w:pPr>
      <w:r>
        <w:rPr>
          <w:rFonts w:ascii="Times New Roman" w:hAnsi="Times New Roman" w:eastAsia="Times New Roman" w:cs="Times New Roman"/>
        </w:rPr>
        <w:drawing>
          <wp:inline xmlns:a="http://schemas.openxmlformats.org/drawingml/2006/main" xmlns:pic="http://schemas.openxmlformats.org/drawingml/2006/picture">
            <wp:extent cx="5940000" cy="7053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jectori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05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sz w:val="24"/>
        </w:rPr>
        <w:t>Рисунок 1 — Все 15 нормированных показателей при начальном состоянии 2015 года и E = 0</w:t>
      </w:r>
    </w:p>
    <w:p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</w:pPr>
      <w:r>
        <w:rPr>
          <w:rFonts w:ascii="Times New Roman" w:hAnsi="Times New Roman" w:eastAsia="Times New Roman" w:cs="Times New Roman"/>
        </w:rPr>
        <w:t>Лепестковые диаграммы контрольной серии</w:t>
      </w:r>
    </w:p>
    <w:p>
      <w:pPr>
        <w:keepNext/>
        <w:ind w:firstLine="0"/>
        <w:jc w:val="center"/>
      </w:pPr>
      <w:r>
        <w:rPr>
          <w:rFonts w:ascii="Times New Roman" w:hAnsi="Times New Roman" w:eastAsia="Times New Roman" w:cs="Times New Roman"/>
        </w:rPr>
        <w:drawing>
          <wp:inline xmlns:a="http://schemas.openxmlformats.org/drawingml/2006/main" xmlns:pic="http://schemas.openxmlformats.org/drawingml/2006/picture">
            <wp:extent cx="5940000" cy="5568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ars-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5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sz w:val="24"/>
        </w:rPr>
        <w:t>Рисунок 2 — Состояния 2015, 2016 и 2018 годов в четырёх четвертях интервала</w:t>
      </w:r>
    </w:p>
    <w:p>
      <w:r>
        <w:rPr>
          <w:rFonts w:ascii="Times New Roman" w:hAnsi="Times New Roman" w:eastAsia="Times New Roman" w:cs="Times New Roman"/>
        </w:rPr>
        <w:t>Радиальная шкала 0–1 одинакова для всех показателей. Отрицательные значения не заменяются нулями; соответствующие панели помечены. Для исходного состояния 2018 года X₅ и X₇ уже становятся отрицательными на части интервала.</w:t>
      </w:r>
    </w:p>
    <w:p>
      <w:r>
        <w:rPr>
          <w:rFonts w:ascii="Times New Roman" w:hAnsi="Times New Roman" w:eastAsia="Times New Roman" w:cs="Times New Roman"/>
        </w:rPr>
        <w:br w:type="page"/>
      </w:r>
    </w:p>
    <w:p>
      <w:pPr>
        <w:keepNext/>
        <w:ind w:firstLine="0"/>
        <w:jc w:val="center"/>
      </w:pPr>
      <w:r>
        <w:rPr>
          <w:rFonts w:ascii="Times New Roman" w:hAnsi="Times New Roman" w:eastAsia="Times New Roman" w:cs="Times New Roman"/>
        </w:rPr>
        <w:drawing>
          <wp:inline xmlns:a="http://schemas.openxmlformats.org/drawingml/2006/main" xmlns:pic="http://schemas.openxmlformats.org/drawingml/2006/picture">
            <wp:extent cx="5940000" cy="3712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ars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rPr>
          <w:rFonts w:ascii="Times New Roman" w:hAnsi="Times New Roman" w:eastAsia="Times New Roman" w:cs="Times New Roman"/>
          <w:sz w:val="24"/>
        </w:rPr>
        <w:t>Рисунок 3 — Состояния 2020 и 2022 годов в четырёх четвертях интервала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2268"/>
        <w:gridCol w:w="4535"/>
      </w:tblGrid>
      <w:tr>
        <w:trPr>
          <w:cantSplit/>
          <w:tblHeader/>
        </w:trPr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/>
                <w:color w:val="000000"/>
                <w:sz w:val="24"/>
              </w:rPr>
              <w:t>Начальное состояние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/>
                <w:color w:val="000000"/>
                <w:sz w:val="24"/>
              </w:rPr>
              <w:t>Показатель</w:t>
            </w:r>
          </w:p>
        </w:tc>
        <w:tc>
          <w:tcPr>
            <w:tcW w:type="dxa" w:w="45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/>
                <w:color w:val="000000"/>
                <w:sz w:val="24"/>
              </w:rPr>
              <w:t>Значение при t = 0,7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2015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X8</w:t>
            </w:r>
          </w:p>
        </w:tc>
        <w:tc>
          <w:tcPr>
            <w:tcW w:type="dxa" w:w="45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-0,020721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2018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X5</w:t>
            </w:r>
          </w:p>
        </w:tc>
        <w:tc>
          <w:tcPr>
            <w:tcW w:type="dxa" w:w="45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-0,038679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2018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X7</w:t>
            </w:r>
          </w:p>
        </w:tc>
        <w:tc>
          <w:tcPr>
            <w:tcW w:type="dxa" w:w="45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-0,195687</w:t>
            </w:r>
          </w:p>
        </w:tc>
      </w:tr>
      <w:tr>
        <w:trPr>
          <w:cantSplit/>
        </w:trPr>
        <w:tc>
          <w:tcPr>
            <w:tcW w:type="dxa" w:w="28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2022</w:t>
            </w:r>
          </w:p>
        </w:tc>
        <w:tc>
          <w:tcPr>
            <w:tcW w:type="dxa" w:w="2268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X7</w:t>
            </w:r>
          </w:p>
        </w:tc>
        <w:tc>
          <w:tcPr>
            <w:tcW w:type="dxa" w:w="4535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-0,06323</w:t>
            </w:r>
          </w:p>
        </w:tc>
      </w:tr>
    </w:tbl>
    <w:p>
      <w:r>
        <w:rPr>
          <w:rFonts w:ascii="Times New Roman" w:hAnsi="Times New Roman" w:eastAsia="Times New Roman" w:cs="Times New Roman"/>
        </w:rPr>
        <w:t>Из отрицательных денежных показателей нельзя делать вывод об экономии или отрицательном фактическом ущербе. Это выход исходной математической системы за физически допустимую область. Для прикладного использования требуется уточнение модели и внешних факторов, а не скрытое округление до нуля.</w:t>
      </w:r>
    </w:p>
    <w:p>
      <w:pPr>
        <w:pStyle w:val="Heading1"/>
      </w:pPr>
      <w:r>
        <w:rPr>
          <w:rFonts w:ascii="Times New Roman" w:hAnsi="Times New Roman" w:eastAsia="Times New Roman" w:cs="Times New Roman"/>
        </w:rPr>
        <w:t>8 Проверка согласованности исходных материалов</w:t>
      </w:r>
    </w:p>
    <w:p>
      <w:r>
        <w:rPr>
          <w:rFonts w:ascii="Times New Roman" w:hAnsi="Times New Roman" w:eastAsia="Times New Roman" w:cs="Times New Roman"/>
        </w:rPr>
        <w:t>В матрице Excel строка X₉ связывается с X₄, X₈, E₁ и E₃; в системе (3) для X₉ использованы X₅, E₃ и E₄. Поэтому калькулятор показывает матрицу буквально, но не выдаёт её за точное автоматическое развёртывание системы. В последующей численной записи Word пропадают внешние факторы и меняются операции между членами.</w:t>
      </w:r>
    </w:p>
    <w:p>
      <w:r>
        <w:rPr>
          <w:rFonts w:ascii="Times New Roman" w:hAnsi="Times New Roman" w:eastAsia="Times New Roman" w:cs="Times New Roman"/>
        </w:rPr>
        <w:t>Показателен контрпример X₉. Численное уравнение Word задаёт X₉′ = 0,791 + 0,374X₅ − 0,421X₅². При X₅(0) = 0,609 получается X₉′(0) = 0,862625099, тогда как таблица Word сохраняет X₉ = 0,204 на всём интервале. Такая таблица не является решением напечатанного уравнения.</w:t>
      </w:r>
    </w:p>
    <w:p>
      <w:r>
        <w:rPr>
          <w:rFonts w:ascii="Times New Roman" w:hAnsi="Times New Roman" w:eastAsia="Times New Roman" w:cs="Times New Roman"/>
        </w:rPr>
        <w:t>Численная интеграция буквальной системы Word при её округлённых начальных значениях даёт X₁(0,7) ≈ 1,398636 вместо 0,58 и X₉(0,7) ≈ 0,804545 вместо 0,204. Таблица Word также содержит отрицательные X₈, X₁₁, X₁₂, X₁₃. Эти результаты не перенесены в калькулятор как эталон.</w:t>
      </w:r>
    </w:p>
    <w:p>
      <w:r>
        <w:rPr>
          <w:rFonts w:ascii="Times New Roman" w:hAnsi="Times New Roman" w:eastAsia="Times New Roman" w:cs="Times New Roman"/>
        </w:rPr>
        <w:t>В Excel столбцы X₆ и X₁₀ совпадают в 2015–2017 годах; причина совпадения в комплекте не установлена. Значения сохранены без исправления. Привязка этих данных к конкретному промышленному объекту и единая дата цен не подтверждены. Публикация MLSD2024 описывает более раннюю систему с девятью переменными и не восполняет отсутствующие параметры пятнадцатимерного варианта.</w:t>
      </w:r>
    </w:p>
    <w:p>
      <w:pPr>
        <w:pStyle w:val="Heading1"/>
      </w:pPr>
      <w:r>
        <w:rPr>
          <w:rFonts w:ascii="Times New Roman" w:hAnsi="Times New Roman" w:eastAsia="Times New Roman" w:cs="Times New Roman"/>
        </w:rPr>
        <w:t>9 Выводы</w:t>
      </w:r>
    </w:p>
    <w:p>
      <w:r>
        <w:rPr>
          <w:rFonts w:ascii="Times New Roman" w:hAnsi="Times New Roman" w:eastAsia="Times New Roman" w:cs="Times New Roman"/>
        </w:rPr>
        <w:t>Реализован ввод и численное решение полной структуры системы (3), расчёт 78 регрессий по статистике, графики показателей и внешних факторов, вычислительная серия из пяти начальных состояний и снимки по четвертям интервала. Нормированные состояния отделены от исходных единиц, интегральный критерий — от денежных потерь. Численный метод проверен на задачах с известным решением.</w:t>
      </w:r>
    </w:p>
    <w:p>
      <w:r>
        <w:rPr>
          <w:rFonts w:ascii="Times New Roman" w:hAnsi="Times New Roman" w:eastAsia="Times New Roman" w:cs="Times New Roman"/>
        </w:rPr>
        <w:t>Предоставленная система пригодна для прозрачного вычислительного исследования, однако её фактическая точность и применимость к предприятию не установлены. Нужны согласованная версия матрицы и уравнений, физические шкалы и значения внешних факторов, а также независимые наблюдения для проверки. Утверждать подтверждённую ошибку не более 15% или оптимальность реального противопожарного плана по этому комплекту нельзя.</w:t>
      </w:r>
    </w:p>
    <w:p>
      <w:pPr>
        <w:pStyle w:val="Heading1"/>
      </w:pPr>
      <w:r>
        <w:rPr>
          <w:rFonts w:ascii="Times New Roman" w:hAnsi="Times New Roman" w:eastAsia="Times New Roman" w:cs="Times New Roman"/>
        </w:rPr>
        <w:t>Источники</w:t>
      </w:r>
    </w:p>
    <w:p>
      <w:pPr>
        <w:ind w:firstLine="0"/>
        <w:jc w:val="left"/>
      </w:pPr>
      <w:r>
        <w:rPr>
          <w:rFonts w:ascii="Times New Roman" w:hAnsi="Times New Roman" w:eastAsia="Times New Roman" w:cs="Times New Roman"/>
        </w:rPr>
        <w:t>1. Статистика Путилов.xlsx. Предоставленный файл; листы «Лист1», «norm data», «Limit values»; наблюдения 2015–2022.</w:t>
      </w:r>
    </w:p>
    <w:p>
      <w:pPr>
        <w:ind w:firstLine="0"/>
        <w:jc w:val="left"/>
      </w:pPr>
      <w:r>
        <w:rPr>
          <w:rFonts w:ascii="Times New Roman" w:hAnsi="Times New Roman" w:eastAsia="Times New Roman" w:cs="Times New Roman"/>
        </w:rPr>
        <w:t>2. Матрица с возмущениями.xlsx. Предоставленный файл; B3:U17 — матрица, Q18:U19 — вид внешних функций.</w:t>
      </w:r>
    </w:p>
    <w:p>
      <w:pPr>
        <w:ind w:firstLine="0"/>
        <w:jc w:val="left"/>
      </w:pPr>
      <w:r>
        <w:rPr>
          <w:rFonts w:ascii="Times New Roman" w:hAnsi="Times New Roman" w:eastAsia="Times New Roman" w:cs="Times New Roman"/>
        </w:rPr>
        <w:t>3. Путилов Д. И., Кушников В. А., Богомолов А. С. Модели и алгоритмы для ликвидации последствий пожара на промышленном предприятии по критерию минимума ущерба. Предоставленный текст текущаястатья_путилов_каспий.docx; формула (3), раздел полиномиальных зависимостей.</w:t>
      </w:r>
    </w:p>
    <w:p>
      <w:pPr>
        <w:ind w:firstLine="0"/>
        <w:jc w:val="left"/>
      </w:pPr>
      <w:r>
        <w:rPr>
          <w:rFonts w:ascii="Times New Roman" w:hAnsi="Times New Roman" w:eastAsia="Times New Roman" w:cs="Times New Roman"/>
        </w:rPr>
        <w:t>4. Путилов Д. И., Кушников В. А., Богомолов А. С., Резчиков А. Ф. Работа с тем же русским названием. Труды MLSD2024. С. 408–412. https://mlsd2024.ipu.ru/proceedings/0408.pdf (проверено 28.10.2026).</w:t>
      </w:r>
    </w:p>
    <w:p>
      <w:pPr>
        <w:ind w:firstLine="0"/>
        <w:jc w:val="left"/>
      </w:pPr>
      <w:r>
        <w:rPr>
          <w:rFonts w:ascii="Times New Roman" w:hAnsi="Times New Roman" w:eastAsia="Times New Roman" w:cs="Times New Roman"/>
        </w:rPr>
        <w:t>5. NumPy. numpy.linalg.lstsq. https://numpy.org/doc/stable/reference/generated/numpy.linalg.lstsq.html (проверено 28.10.2026).</w:t>
      </w:r>
    </w:p>
    <w:p>
      <w:pPr>
        <w:ind w:firstLine="0"/>
        <w:jc w:val="left"/>
      </w:pPr>
      <w:r>
        <w:rPr>
          <w:rFonts w:ascii="Times New Roman" w:hAnsi="Times New Roman" w:eastAsia="Times New Roman" w:cs="Times New Roman"/>
        </w:rPr>
        <w:t>6. SciPy. scipy.integrate.solve_ivp. https://docs.scipy.org/doc/scipy/reference/generated/scipy.integrate.solve_ivp.html (проверено 28.10.2026).</w:t>
      </w:r>
    </w:p>
    <w:p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</w:pPr>
      <w:r>
        <w:rPr>
          <w:rFonts w:ascii="Times New Roman" w:hAnsi="Times New Roman" w:eastAsia="Times New Roman" w:cs="Times New Roman"/>
        </w:rPr>
        <w:t>Приложение Полный набор коэффициентов</w:t>
      </w:r>
    </w:p>
    <w:p>
      <w:r>
        <w:rPr>
          <w:rFonts w:ascii="Times New Roman" w:hAnsi="Times New Roman" w:eastAsia="Times New Roman" w:cs="Times New Roman"/>
        </w:rPr>
        <w:t>В каждой строке f(u) = β₀ + β₁u + β₂u²; связь Xⱼ → Xᵢ указывает аргумент и показатель, для которого выполнена регрессия. В таблице коэффициенты округлены до шести знаков; вычисления используют полную точность. R² относится к подбору на восьми исходных наблюдениях.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701"/>
        <w:gridCol w:w="1984"/>
        <w:gridCol w:w="1984"/>
        <w:gridCol w:w="1984"/>
        <w:gridCol w:w="1417"/>
      </w:tblGrid>
      <w:tr>
        <w:trPr>
          <w:cantSplit/>
          <w:tblHeader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/>
                <w:color w:val="000000"/>
                <w:sz w:val="24"/>
              </w:rPr>
              <w:t>f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/>
                <w:color w:val="000000"/>
                <w:sz w:val="24"/>
              </w:rPr>
              <w:t>Связь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/>
                <w:color w:val="000000"/>
                <w:sz w:val="24"/>
              </w:rPr>
              <w:t>β₀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/>
                <w:color w:val="000000"/>
                <w:sz w:val="24"/>
              </w:rPr>
              <w:t>β₁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/>
                <w:color w:val="000000"/>
                <w:sz w:val="24"/>
              </w:rPr>
              <w:t>β₂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/>
                <w:color w:val="000000"/>
                <w:sz w:val="24"/>
              </w:rPr>
              <w:t>R²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X5 → X1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0,660201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0,759209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-0,566174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0,112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2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X6 → X1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0,886325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-0,154534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0,218303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0,2476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3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X9 → X1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0,927707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-0,092844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-0,006272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0,2669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4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X10 → X1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-1,74698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6,013195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-3,398402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0,0813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5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X13 → X1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0,830074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0,20587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-0,15359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0,0385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6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X15 → X1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1,068227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-0,72968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0,642785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0,4696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7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X5 → X2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0,791094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0,373947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-0,42094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0,3015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8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X10 → X2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0,508014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0,864519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-0,53792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0,0091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9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X13 → X2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0,632075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0,894063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-0,785205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0,3954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10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X15 → X2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0,731387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-0,061092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0,312918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0,7124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11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X4 → X3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0,694039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0,089804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0,18594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0,4412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12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X5 → X3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-0,408915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3,310742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-2,019471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0,7345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13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X6 → X3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0,714049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0,790285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-0,855116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0,1392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14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X7 → X3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0,729447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0,028206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0,239479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0,3926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15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X8 → X3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0,796725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-0,179767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0,105593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0,024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16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X9 → X3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0,752321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0,043856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0,021301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0,0201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17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X11 → X3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0,850752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-0,16399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-0,048102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0,2828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18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X12 → X3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0,774921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0,213774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-0,310621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0,0906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19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X13 → X3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0,827117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-0,118784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0,041482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0,0135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20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X14 → X3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0,976578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-1,357242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1,098687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0,4239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21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X15 → X3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1,554323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-2,463044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1,815794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0,1904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22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X5 → X4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-2,230507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8,295504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-5,920302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0,3558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23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X7 → X4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0,389645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-0,871394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1,480774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0,5756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24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X9 → X4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0,254043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1,031786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-1,143759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0,1148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25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X11 → X4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0,601778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-0,787383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0,350854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0,2036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26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X12 → X4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0,461702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-0,201893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-0,040756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0,0749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27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X14 → X4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0,558441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-1,209353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1,037787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0,0577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28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X4 → X5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0,516638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0,522128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-0,472737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0,0285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29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X7 → X5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0,466302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1,034389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-0,895438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0,108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30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X8 → X5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0,496576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1,486425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-1,452366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0,1014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31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X11 → X5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0,632818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0,206448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-0,418802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0,1891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32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X14 → X5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0,816938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-1,407369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1,114141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0,2285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33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X4 → X6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0,748615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-2,40919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2,409122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0,2232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34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X7 → X6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-0,039991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2,731136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-1,833074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0,463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35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X8 → X6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0,700628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-3,198985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2,630951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0,1894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36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X11 → X6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0,392758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-0,012765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0,064461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0,0027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37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X13 → X6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0,05705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1,865239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-1,900676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0,1631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38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X6 → X7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-0,036873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1,557331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-1,073295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0,3781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39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X11 → X7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0,364917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-0,307853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0,085566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0,0616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40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X15 → X7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1,647506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-5,481335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4,747051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0,8405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41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X14 → X7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0,392644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-0,574865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0,221668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0,1127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42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X7 → X8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0,576082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-2,636756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2,127811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0,3407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43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X9 → X8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0,069132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0,839524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-0,825194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0,047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44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X11 → X8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-0,223773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2,860445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-2,613263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0,3394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45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X15 → X8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3,206938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-7,873121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4,78955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0,5776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46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X14 → X8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0,185239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-0,964245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1,779744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0,9849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47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X5 → X9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-2,104155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7,561223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-5,129131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0,3831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48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X4 → X10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0,845773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0,32722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-0,304588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0,0688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49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X7 → X10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0,924824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-0,111553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0,019645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0,1054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50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X8 → X10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0,818965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1,000589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-0,923642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0,2264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51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X12 → X10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0,837032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0,480524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-0,419205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0,1497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52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X4 → X11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0,626039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-0,800262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0,29722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0,2016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53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X5 → X11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1,575415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-3,139829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1,754867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0,1951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54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X7 → X11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0,483178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-0,436614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0,142318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0,0621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55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X15 → X11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-0,178277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2,140869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-1,798708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0,0759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56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X14 → X11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0,470335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-0,541195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0,430651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0,0117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57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X4 → X12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0,270319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0,760611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-0,996474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0,1155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58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X15 → X12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1,930485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-3,450183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1,517667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0,4375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59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X14 → X12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0,657539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-3,060898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3,218556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0,5174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60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X4 → X13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0,482914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0,5225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-0,440343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0,0236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61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X8 → X13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0,347297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2,077562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-1,424075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0,6492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62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X12 → X13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0,32133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1,616899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-1,181157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0,5013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63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X8 → X14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0,267822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-1,258627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1,990747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0,913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64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X9 → X14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0,280194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0,357196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-0,596174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0,1016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65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X13 → X14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0,803747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-2,949652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3,072032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0,7703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66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X4 → X14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-0,076774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2,345599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-2,25823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0,3057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67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X5 → X14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0,38805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0,046165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-0,338506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0,0867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68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X6 → X14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0,26172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0,273298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-0,306053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0,005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69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X7 → X14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0,53096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-1,663586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1,240485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0,1978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70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X11 → X14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-0,021706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2,176608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-2,077713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0,2416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71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X12 → X14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0,000014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2,075589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-1,738917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0,2642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72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X14 → X14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73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X6 → X15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0,473388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0,948947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-0,558005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0,6797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74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X7 → X15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0,495646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1,021642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-0,51852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0,6407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75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X8 → X15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0,924199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-2,512281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2,038821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0,5883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76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X9 → X15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0,872978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-0,618825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0,240606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0,373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77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X11 → X15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0,90905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-1,331371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1,130803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0,2419</w:t>
            </w:r>
          </w:p>
        </w:tc>
      </w:tr>
      <w:tr>
        <w:trPr>
          <w:cantSplit/>
        </w:trPr>
        <w:tc>
          <w:tcPr>
            <w:tcW w:type="dxa" w:w="56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78</w:t>
            </w:r>
          </w:p>
        </w:tc>
        <w:tc>
          <w:tcPr>
            <w:tcW w:type="dxa" w:w="1701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X15 → X15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</w:t>
            </w:r>
          </w:p>
        </w:tc>
        <w:tc>
          <w:tcPr>
            <w:tcW w:type="dxa" w:w="1984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0</w:t>
            </w:r>
          </w:p>
        </w:tc>
        <w:tc>
          <w:tcPr>
            <w:tcW w:type="dxa" w:w="1417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line="252" w:lineRule="auto" w:after="80" w:before="80"/>
              <w:ind w:firstLine="0"/>
              <w:jc w:val="left"/>
            </w:pPr>
            <w:r>
              <w:rPr>
                <w:b w:val="0"/>
                <w:color w:val="000000"/>
                <w:sz w:val="24"/>
              </w:rPr>
              <w:t>1</w:t>
            </w:r>
          </w:p>
        </w:tc>
      </w:tr>
    </w:tbl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  <w:ind w:firstLine="709"/>
      <w:jc w:val="both"/>
    </w:pPr>
    <w:rPr>
      <w:rFonts w:ascii="Times New Roman" w:hAnsi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120" w:line="360" w:lineRule="auto"/>
    </w:pPr>
    <w:rPr>
      <w:rFonts w:ascii="Times New Roman" w:hAnsi="Times New Roman"/>
      <w:color w:val="000000"/>
      <w:sz w:val="2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120" w:line="360" w:lineRule="auto"/>
    </w:pPr>
    <w:rPr>
      <w:rFonts w:ascii="Times New Roman" w:hAnsi="Times New Roman"/>
      <w:color w:val="000000"/>
      <w:sz w:val="2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20" w:line="360" w:lineRule="auto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center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120" w:line="360" w:lineRule="auto"/>
      <w:outlineLvl w:val="4"/>
    </w:pPr>
    <w:rPr>
      <w:rFonts w:asciiTheme="majorHAnsi" w:eastAsiaTheme="majorEastAsia" w:hAnsiTheme="majorHAnsi" w:cstheme="majorBidi" w:ascii="Times New Roman" w:hAnsi="Times New Roman"/>
      <w:color w:val="000000"/>
      <w:sz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120" w:line="360" w:lineRule="auto"/>
      <w:outlineLvl w:val="5"/>
    </w:pPr>
    <w:rPr>
      <w:rFonts w:asciiTheme="majorHAnsi" w:eastAsiaTheme="majorEastAsia" w:hAnsiTheme="majorHAnsi" w:cstheme="majorBidi" w:ascii="Times New Roman" w:hAnsi="Times New Roman"/>
      <w:i/>
      <w:iCs/>
      <w:color w:val="000000"/>
      <w:sz w:val="2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120" w:line="360" w:lineRule="auto"/>
      <w:outlineLvl w:val="6"/>
    </w:pPr>
    <w:rPr>
      <w:rFonts w:asciiTheme="majorHAnsi" w:eastAsiaTheme="majorEastAsia" w:hAnsiTheme="majorHAnsi" w:cstheme="majorBidi" w:ascii="Times New Roman" w:hAnsi="Times New Roman"/>
      <w:i/>
      <w:iCs/>
      <w:color w:val="000000"/>
      <w:sz w:val="28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120" w:line="360" w:lineRule="auto"/>
      <w:outlineLvl w:val="7"/>
    </w:pPr>
    <w:rPr>
      <w:rFonts w:asciiTheme="majorHAnsi" w:eastAsiaTheme="majorEastAsia" w:hAnsiTheme="majorHAnsi" w:cstheme="majorBidi" w:ascii="Times New Roman" w:hAnsi="Times New Roman"/>
      <w:color w:val="000000"/>
      <w:sz w:val="28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120" w:line="360" w:lineRule="auto"/>
      <w:outlineLvl w:val="8"/>
    </w:pPr>
    <w:rPr>
      <w:rFonts w:asciiTheme="majorHAnsi" w:eastAsiaTheme="majorEastAsia" w:hAnsiTheme="majorHAnsi" w:cstheme="majorBidi" w:ascii="Times New Roman" w:hAnsi="Times New Roman"/>
      <w:i/>
      <w:iCs/>
      <w:color w:val="000000"/>
      <w:sz w:val="28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120" w:line="360" w:lineRule="auto"/>
    </w:pPr>
    <w:rPr>
      <w:rFonts w:ascii="Times New Roman" w:hAnsi="Times New Roman"/>
      <w:color w:val="000000"/>
      <w:sz w:val="28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360" w:lineRule="auto"/>
      <w:ind w:firstLine="0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360" w:lineRule="auto"/>
    </w:pPr>
    <w:rPr>
      <w:rFonts w:asciiTheme="majorHAnsi" w:eastAsiaTheme="majorEastAsia" w:hAnsiTheme="majorHAnsi" w:cstheme="majorBidi" w:ascii="Times New Roman" w:hAnsi="Times New Roman"/>
      <w:i/>
      <w:iCs/>
      <w:color w:val="00000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after="120" w:line="360" w:lineRule="auto"/>
      <w:ind w:left="720"/>
      <w:contextualSpacing/>
    </w:pPr>
    <w:rPr>
      <w:rFonts w:ascii="Times New Roman" w:hAnsi="Times New Roman"/>
      <w:color w:val="000000"/>
      <w:sz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360" w:lineRule="auto"/>
    </w:pPr>
    <w:rPr>
      <w:rFonts w:ascii="Times New Roman" w:hAnsi="Times New Roman"/>
      <w:color w:val="000000"/>
      <w:sz w:val="28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360" w:lineRule="auto"/>
    </w:pPr>
    <w:rPr>
      <w:rFonts w:ascii="Times New Roman" w:hAnsi="Times New Roman"/>
      <w:color w:val="000000"/>
      <w:sz w:val="28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 w:line="360" w:lineRule="auto"/>
    </w:pPr>
    <w:rPr>
      <w:rFonts w:ascii="Times New Roman" w:hAnsi="Times New Roman"/>
      <w:color w:val="000000"/>
      <w:sz w:val="28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spacing w:after="120" w:line="360" w:lineRule="auto"/>
      <w:ind w:left="360" w:hanging="360"/>
      <w:contextualSpacing/>
    </w:pPr>
    <w:rPr>
      <w:rFonts w:ascii="Times New Roman" w:hAnsi="Times New Roman"/>
      <w:color w:val="000000"/>
      <w:sz w:val="28"/>
    </w:rPr>
  </w:style>
  <w:style w:type="paragraph" w:styleId="List2">
    <w:name w:val="List 2"/>
    <w:basedOn w:val="Normal"/>
    <w:uiPriority w:val="99"/>
    <w:unhideWhenUsed/>
    <w:rsid w:val="00326F90"/>
    <w:pPr>
      <w:spacing w:after="120" w:line="360" w:lineRule="auto"/>
      <w:ind w:left="720" w:hanging="360"/>
      <w:contextualSpacing/>
    </w:pPr>
    <w:rPr>
      <w:rFonts w:ascii="Times New Roman" w:hAnsi="Times New Roman"/>
      <w:color w:val="000000"/>
      <w:sz w:val="28"/>
    </w:rPr>
  </w:style>
  <w:style w:type="paragraph" w:styleId="List3">
    <w:name w:val="List 3"/>
    <w:basedOn w:val="Normal"/>
    <w:uiPriority w:val="99"/>
    <w:unhideWhenUsed/>
    <w:rsid w:val="00326F90"/>
    <w:pPr>
      <w:spacing w:after="120" w:line="360" w:lineRule="auto"/>
      <w:ind w:left="1080" w:hanging="360"/>
      <w:contextualSpacing/>
    </w:pPr>
    <w:rPr>
      <w:rFonts w:ascii="Times New Roman" w:hAnsi="Times New Roman"/>
      <w:color w:val="000000"/>
      <w:sz w:val="28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360" w:lineRule="auto"/>
      <w:contextualSpacing/>
    </w:pPr>
    <w:rPr>
      <w:rFonts w:ascii="Times New Roman" w:hAnsi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120" w:line="360" w:lineRule="auto"/>
      <w:contextualSpacing/>
    </w:pPr>
    <w:rPr>
      <w:rFonts w:ascii="Times New Roman" w:hAnsi="Times New Roman"/>
      <w:color w:val="000000"/>
      <w:sz w:val="28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120" w:line="360" w:lineRule="auto"/>
      <w:contextualSpacing/>
    </w:pPr>
    <w:rPr>
      <w:rFonts w:ascii="Times New Roman" w:hAnsi="Times New Roman"/>
      <w:color w:val="000000"/>
      <w:sz w:val="28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360" w:lineRule="auto"/>
      <w:contextualSpacing/>
    </w:pPr>
    <w:rPr>
      <w:rFonts w:ascii="Times New Roman" w:hAnsi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120" w:line="360" w:lineRule="auto"/>
      <w:contextualSpacing/>
    </w:pPr>
    <w:rPr>
      <w:rFonts w:ascii="Times New Roman" w:hAnsi="Times New Roman"/>
      <w:color w:val="000000"/>
      <w:sz w:val="28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spacing w:after="120" w:line="360" w:lineRule="auto"/>
      <w:contextualSpacing/>
    </w:pPr>
    <w:rPr>
      <w:rFonts w:ascii="Times New Roman" w:hAnsi="Times New Roman"/>
      <w:color w:val="000000"/>
      <w:sz w:val="28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 w:line="360" w:lineRule="auto"/>
      <w:ind w:left="360"/>
      <w:contextualSpacing/>
    </w:pPr>
    <w:rPr>
      <w:rFonts w:ascii="Times New Roman" w:hAnsi="Times New Roman"/>
      <w:color w:val="000000"/>
      <w:sz w:val="28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 w:line="360" w:lineRule="auto"/>
      <w:ind w:left="720"/>
      <w:contextualSpacing/>
    </w:pPr>
    <w:rPr>
      <w:rFonts w:ascii="Times New Roman" w:hAnsi="Times New Roman"/>
      <w:color w:val="000000"/>
      <w:sz w:val="28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 w:line="360" w:lineRule="auto"/>
      <w:ind w:left="1080"/>
      <w:contextualSpacing/>
    </w:pPr>
    <w:rPr>
      <w:rFonts w:ascii="Times New Roman" w:hAnsi="Times New Roman"/>
      <w:color w:val="000000"/>
      <w:sz w:val="28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120" w:line="360" w:lineRule="auto"/>
    </w:pPr>
    <w:rPr>
      <w:rFonts w:ascii="Times New Roman" w:hAnsi="Times New Roman"/>
      <w:color w:val="000000"/>
      <w:sz w:val="28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after="120" w:line="360" w:lineRule="auto"/>
    </w:pPr>
    <w:rPr>
      <w:rFonts w:ascii="Times New Roman" w:hAnsi="Times New Roman"/>
      <w:i/>
      <w:iCs/>
      <w:color w:val="000000"/>
      <w:sz w:val="28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60" w:lineRule="auto" w:after="120"/>
    </w:pPr>
    <w:rPr>
      <w:rFonts w:ascii="Times New Roman" w:hAnsi="Times New Roman"/>
      <w:b/>
      <w:bCs/>
      <w:color w:val="000000"/>
      <w:sz w:val="2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120" w:line="360" w:lineRule="auto"/>
      <w:ind w:left="936" w:right="936"/>
    </w:pPr>
    <w:rPr>
      <w:rFonts w:ascii="Times New Roman" w:hAnsi="Times New Roman"/>
      <w:b/>
      <w:bCs/>
      <w:i/>
      <w:iCs/>
      <w:color w:val="000000"/>
      <w:sz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spacing w:after="120" w:line="360" w:lineRule="auto"/>
      <w:outlineLvl w:val="9"/>
    </w:pPr>
    <w:rPr>
      <w:rFonts w:ascii="Times New Roman" w:hAnsi="Times New Roman"/>
      <w:color w:val="000000"/>
      <w:sz w:val="28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2 Моделирование последствий пожара</dc:title>
  <dc:subject>Система Путилова из 15 уравнений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