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Модели и методы определения ущерба от пожаров</w:t>
      </w:r>
    </w:p>
    <w:p>
      <w:pPr>
        <w:pStyle w:val="Subtitle"/>
      </w:pPr>
      <w:r>
        <w:t>Отчёт по практической работе № 2</w:t>
      </w:r>
    </w:p>
    <w:p>
      <w:pPr>
        <w:pStyle w:val="Heading1"/>
      </w:pPr>
      <w:r>
        <w:t>1 Цель и постановка задачи</w:t>
      </w:r>
    </w:p>
    <w:p>
      <w:r>
        <w:t>Разработано веб-приложение для оценки имущественного ущерба от пожара, потерь из-за перерыва деятельности, ожидаемых годовых потерь и экономического эффекта дополнительной защиты. Расчёт продолжает первую лабораторную работу [1]. Динамическая часть воспроизводит накопленные приведённые затраты и потери по опубликованной методике Fire Protection Research Foundation [2].</w:t>
      </w:r>
    </w:p>
    <w:p>
      <w:r>
        <w:t>Требования к программной части взяты из предоставленного задания по химическим выбросам [4, с. 7] и перенесены на экономическую предметную область. Число переменных химического примера не переносится механически: здесь используются шесть компонентов экономической методики. Параметры горения, задымления и тушения не вводятся, поскольку для них в выбранных экономических формулах нет расчётного основания.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Требование примера</w:t>
            </w:r>
          </w:p>
        </w:tc>
        <w:tc>
          <w:tcPr>
            <w:tcW w:type="dxa" w:w="646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1. Начальные условия</w:t>
            </w:r>
          </w:p>
        </w:tc>
        <w:tc>
          <w:tcPr>
            <w:tcW w:type="dxa" w:w="646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Шесть редактируемых начальных значений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2. Ввод зависимостей</w:t>
            </w:r>
          </w:p>
        </w:tc>
        <w:tc>
          <w:tcPr>
            <w:tcW w:type="dxa" w:w="646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Редактор f⁺ и f⁻ для каждого уравнения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3–4. Внешние факторы</w:t>
            </w:r>
          </w:p>
        </w:tc>
        <w:tc>
          <w:tcPr>
            <w:tcW w:type="dxa" w:w="646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Восемь функций времени; редактор выражений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5. Python</w:t>
            </w:r>
          </w:p>
        </w:tc>
        <w:tc>
          <w:tcPr>
            <w:tcW w:type="dxa" w:w="646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SciPy solve_ivp; RK45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6–7. Графики</w:t>
            </w:r>
          </w:p>
        </w:tc>
        <w:tc>
          <w:tcPr>
            <w:tcW w:type="dxa" w:w="646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Все шесть компонентов, потери, NPV и восемь факторов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8. Эксперименты</w:t>
            </w:r>
          </w:p>
        </w:tc>
        <w:tc>
          <w:tcPr>
            <w:tcW w:type="dxa" w:w="646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Пять вариантов; снимки τ = 0; 0,25; 0,50; 0,75; 1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9–10. Выводы и отчёт</w:t>
            </w:r>
          </w:p>
        </w:tc>
        <w:tc>
          <w:tcPr>
            <w:tcW w:type="dxa" w:w="646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Сравнение результатов, проверка формул, настоящий отчёт</w:t>
            </w:r>
          </w:p>
        </w:tc>
      </w:tr>
    </w:tbl>
    <w:p>
      <w:pPr>
        <w:pStyle w:val="Heading1"/>
      </w:pPr>
      <w:r>
        <w:t>2 Исходные материалы и происхождение формул</w:t>
      </w:r>
    </w:p>
    <w:p>
      <w:r>
        <w:t>Методика [2] представлена в первичном отчёте FPRF-2022-13, раздел 2.3, печатные страницы 14–18 (страницы PDF 21–25). Статья Gernay и соавторов [3] соответствует источнику № 13 первой лабораторной и описывает применение этого подхода. Формулы численного ядра имеют следующую прослеживаемость.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726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Расчёт</w:t>
            </w:r>
          </w:p>
        </w:tc>
        <w:tc>
          <w:tcPr>
            <w:tcW w:type="dxa" w:w="572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Прямой ущерб и остатки</w:t>
            </w:r>
          </w:p>
        </w:tc>
        <w:tc>
          <w:tcPr>
            <w:tcW w:type="dxa" w:w="572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[1], формулы (4), (5), (28)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Простой по периодам</w:t>
            </w:r>
          </w:p>
        </w:tc>
        <w:tc>
          <w:tcPr>
            <w:tcW w:type="dxa" w:w="572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[1], формула (20); постоянный случай (21), (29)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Сценарии и EAL</w:t>
            </w:r>
          </w:p>
        </w:tc>
        <w:tc>
          <w:tcPr>
            <w:tcW w:type="dxa" w:w="572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[1], разделы 4 и 12.3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Годовые NPV и BCR</w:t>
            </w:r>
          </w:p>
        </w:tc>
        <w:tc>
          <w:tcPr>
            <w:tcW w:type="dxa" w:w="572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[1], формулы (25)–(27)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Дисконтирование во времени</w:t>
            </w:r>
          </w:p>
        </w:tc>
        <w:tc>
          <w:tcPr>
            <w:tcW w:type="dxa" w:w="572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[2], формулы (3), (4)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Накопленные прямые и косвенные потери</w:t>
            </w:r>
          </w:p>
        </w:tc>
        <w:tc>
          <w:tcPr>
            <w:tcW w:type="dxa" w:w="572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[2], формулы (11), (13), конечный горизонт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Обслуживание и обновление объекта</w:t>
            </w:r>
          </w:p>
        </w:tc>
        <w:tc>
          <w:tcPr>
            <w:tcW w:type="dxa" w:w="572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[2], формулы (7), (9)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Чистый эффект и BCR</w:t>
            </w:r>
          </w:p>
        </w:tc>
        <w:tc>
          <w:tcPr>
            <w:tcW w:type="dxa" w:w="572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[2], формулы (19), (22)</w:t>
            </w:r>
          </w:p>
        </w:tc>
      </w:tr>
    </w:tbl>
    <w:p>
      <w:r>
        <w:t>Работа оценивает имущество и перерыв деятельности. Социальные и экологические последствия не оценены, а не приравнены нулю. Приказ МЧС № 631 в проверенной редакции исключает упущенную выгоду [5, п. 8], поэтому расчёт простоя здесь не представляется расчётом по этому приказу. Для сметных исходных данных необходимо исключать двойной счёт остатков и дополнительных расходов.</w:t>
      </w:r>
    </w:p>
    <w:p>
      <w:pPr>
        <w:pStyle w:val="Heading1"/>
      </w:pPr>
      <w:r>
        <w:t>3 Расчёт ущерба события и сценарного риска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G = Σ qᵢcᵢkᵢ;  Uпр = G − S + Cдоп.</w:t>
        <w:tab/>
        <w:t>(1)</w:t>
      </w:r>
    </w:p>
    <w:p>
      <w:r>
        <w:t>qᵢ — количество единиц позиции, cᵢ — стоимость единицы, kᵢ — доля денежной утраты, S — чистая стоимость пригодных остатков. Для детальной сметы вводится повреждённый объём работ по стоимости восстановления с kᵢ = 1. Коэффициентная запись также предусмотрена первой работой; коэффициенты требуют основания в обследовании или сценарии.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Uкосв = Σ (R₀ⱼ − Rⱼ)mⱼΔtⱼ + Cврем.</w:t>
        <w:tab/>
        <w:t>(2)</w:t>
      </w:r>
    </w:p>
    <w:p>
      <w:r>
        <w:t>R₀ⱼ и Rⱼ — суточная выручка без пожара и после пожара; mⱼ — доля маржинального дохода; Δtⱼ — дни соответствующего периода. Если выручка задана суммой за период, Δtⱼ = 1. Суммирование точно воспроизводит формулу (20) первой лабораторной при согласованных единицах. Временные расходы добавляются один раз.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E[U | пожар] = Σ pⱼUⱼ;  EAL = λΣ pⱼUⱼ;  Σ pⱼ = 1.</w:t>
        <w:tab/>
        <w:t>(3)</w:t>
      </w:r>
    </w:p>
    <w:p>
      <w:r>
        <w:t>Вероятности условны на факт пожара; λ — средняя частота, 1/год. EAL измеряется в руб./год. Распределение сценариев задаётся отдельно от ущерба одного обследованного события. Программа проверяет суммы вероятностей для базового и защищённого вариантов без автоматической нормировки.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NPV = −I + Σ (ΔEALₙ − Oₙ − Kₙ + Sₙ)/(1 + r)ⁿ.</w:t>
        <w:tab/>
        <w:t>(4)</w:t>
      </w:r>
    </w:p>
    <w:p>
      <w:r>
        <w:t>I — первоначальные вложения; Oₙ — обслуживание; Kₙ — замены; Sₙ — остаточная стоимость; r — годовая ставка. Полная сумма доступна через таблицу годовых потоков. В режиме постоянных потоков используется аннуитет из первой работы. BCR — отношение приведённых выгод к приведённым затратам; при нулевых затратах показатель не определён.</w:t>
      </w:r>
    </w:p>
    <w:p>
      <w:pPr>
        <w:pStyle w:val="Heading1"/>
      </w:pPr>
      <w:r>
        <w:t>4 Динамическая модель по опубликованной методике</w:t>
      </w:r>
    </w:p>
    <w:p>
      <w:r>
        <w:t>Расчёт начинается в момент принятия инвестиционного решения. Время t выражается в годах, все денежные величины — в рублях одной начальной даты. Индекс 0 относится к базовому варианту, индекс 1 — к варианту с дополнительной защитой. Частота пожаров и средние потери могут различаться между вариантами.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γ = ln(1 + r);  J(T) = (1 − exp(−γT))/γ.</w:t>
        <w:tab/>
        <w:t>(5)</w:t>
      </w:r>
    </w:p>
    <w:p>
      <w:r>
        <w:t>При γ = 0 принимается J(T) = T. Для постоянных входных величин накопленные компоненты равны следующим выражениям [2].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Cddⱼ(T) = λⱼDdⱼJ(T);  Cidⱼ(T) = λⱼDiⱼJ(T),  j = 0, 1.</w:t>
        <w:tab/>
        <w:t>(6)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CM(T) = cM J(T);  CA(T) = IωJ(T).</w:t>
        <w:tab/>
        <w:t>(7)</w:t>
      </w:r>
    </w:p>
    <w:p>
      <w:r>
        <w:t>Dd и Di — средние прямые и косвенные потери на пожар, руб./пожар; cM — ежегодные расходы, руб./год. ω — частота обновления объекта, из-за которого повторно требуются вложения в защиту. Параметр не следует отождествлять с бухгалтерским износом. Компонент CA сохранён в программе даже при нулевом значении в контрольном примере.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953"/>
        <w:gridCol w:w="141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Переменная</w:t>
            </w:r>
          </w:p>
        </w:tc>
        <w:tc>
          <w:tcPr>
            <w:tcW w:type="dxa" w:w="595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Экономическое содержание</w:t>
            </w:r>
          </w:p>
        </w:tc>
        <w:tc>
          <w:tcPr>
            <w:tcW w:type="dxa" w:w="141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Единица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x₁ = Cdd₀</w:t>
            </w:r>
          </w:p>
        </w:tc>
        <w:tc>
          <w:tcPr>
            <w:tcW w:type="dxa" w:w="595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Приведённые прямые потери базы</w:t>
            </w:r>
          </w:p>
        </w:tc>
        <w:tc>
          <w:tcPr>
            <w:tcW w:type="dxa" w:w="141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руб.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x₂ = Cid₀</w:t>
            </w:r>
          </w:p>
        </w:tc>
        <w:tc>
          <w:tcPr>
            <w:tcW w:type="dxa" w:w="595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Приведённые косвенные потери базы</w:t>
            </w:r>
          </w:p>
        </w:tc>
        <w:tc>
          <w:tcPr>
            <w:tcW w:type="dxa" w:w="141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руб.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x₃ = Cdd₁</w:t>
            </w:r>
          </w:p>
        </w:tc>
        <w:tc>
          <w:tcPr>
            <w:tcW w:type="dxa" w:w="595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Приведённые прямые потери варианта</w:t>
            </w:r>
          </w:p>
        </w:tc>
        <w:tc>
          <w:tcPr>
            <w:tcW w:type="dxa" w:w="141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руб.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x₄ = Cid₁</w:t>
            </w:r>
          </w:p>
        </w:tc>
        <w:tc>
          <w:tcPr>
            <w:tcW w:type="dxa" w:w="595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Приведённые косвенные потери варианта</w:t>
            </w:r>
          </w:p>
        </w:tc>
        <w:tc>
          <w:tcPr>
            <w:tcW w:type="dxa" w:w="141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руб.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x₅ = CM</w:t>
            </w:r>
          </w:p>
        </w:tc>
        <w:tc>
          <w:tcPr>
            <w:tcW w:type="dxa" w:w="595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Приведённые затраты на обслуживание</w:t>
            </w:r>
          </w:p>
        </w:tc>
        <w:tc>
          <w:tcPr>
            <w:tcW w:type="dxa" w:w="141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руб.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x₆ = CA</w:t>
            </w:r>
          </w:p>
        </w:tc>
        <w:tc>
          <w:tcPr>
            <w:tcW w:type="dxa" w:w="595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Приведённые затраты при обновлении объекта</w:t>
            </w:r>
          </w:p>
        </w:tc>
        <w:tc>
          <w:tcPr>
            <w:tcW w:type="dxa" w:w="141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руб.</w:t>
            </w:r>
          </w:p>
        </w:tc>
      </w:tr>
    </w:tbl>
    <w:p>
      <w:r>
        <w:t>Для решения средствами Python опубликованные накопленные интегралы записаны в эквивалентной дифференциальной форме. Производная интеграла по верхнему пределу равна его подынтегральной функции. Это математическое преобразование исходных формул, не новая эмпирическая зависимость.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dx₁/dt = λ₀(t)Dd₀(t)exp(−γt).</w:t>
        <w:tab/>
        <w:t>(8)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dx₂/dt = λ₀(t)Di₀(t)exp(−γt).</w:t>
        <w:tab/>
        <w:t>(9)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dx₃/dt = λ₁(t)Dd₁(t)exp(−γt).</w:t>
        <w:tab/>
        <w:t>(10)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dx₄/dt = λ₁(t)Di₁(t)exp(−γt).</w:t>
        <w:tab/>
        <w:t>(11)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dx₅/dt = cM(t)exp(−γt).</w:t>
        <w:tab/>
        <w:t>(12)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dx₆/dt = Iω(t)exp(−γt).</w:t>
        <w:tab/>
        <w:t>(13)</w:t>
      </w:r>
    </w:p>
    <w:p>
      <w:r>
        <w:t>Начальные условия стандартного расчёта: xᵢ(0) = 0. Ненулевые накопленные суммы можно задать вручную при соответствующем обосновании. Редактор допускает запись dxᵢ/dt = fᵢ⁺ − fᵢ⁻; в стандартной методике отрицательные потоки равны нулю. При изменении правых частей интерфейс явно отмечает пользовательскую модель.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B = x₁ + x₂;  D = x₃ + x₄;  Z = B − D − I − x₅ − x₆.</w:t>
        <w:tab/>
        <w:t>(14)</w:t>
      </w:r>
    </w:p>
    <w:p>
      <w:pPr>
        <w:tabs>
          <w:tab w:pos="8957" w:val="right"/>
        </w:tabs>
        <w:spacing w:before="80" w:after="80" w:line="288" w:lineRule="auto"/>
        <w:ind w:firstLine="0" w:left="227"/>
        <w:jc w:val="left"/>
      </w:pPr>
      <w:r>
        <w:rPr>
          <w:sz w:val="24"/>
        </w:rPr>
        <w:t>BCR = (B − D)/(I + x₅ + x₆).</w:t>
        <w:tab/>
        <w:t>(15)</w:t>
      </w:r>
    </w:p>
    <w:p>
      <w:r>
        <w:t>Z обозначается в интерфейсе как NPV. Он может быть отрицательным: это означает превышение учтённых затрат над предотвращёнными потерями. Такой результат не освобождает от обязательных требований пожарной безопасности.</w:t>
      </w:r>
    </w:p>
    <w:p>
      <w:pPr>
        <w:pStyle w:val="Heading1"/>
      </w:pPr>
      <w:r>
        <w:t>5 Внешние факторы и исходные данные</w:t>
      </w:r>
    </w:p>
    <w:p>
      <w:r>
        <w:t>Внешние факторы: λ₀(t), λ₁(t), Dd₀(t), Di₀(t), Dd₁(t), Di₁(t), cM(t), ω(t). Для стандартного расчёта они постоянны. В пятом эксперименте задаётся λ₀(t) = λ₁(t) = 0,02(1 + t/10). Это явно заданное возмущение для анализа чувствительности, а не статистический закон изменения частоты пожаров.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061"/>
        <w:gridCol w:w="3969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306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T; r</w:t>
            </w:r>
          </w:p>
        </w:tc>
        <w:tc>
          <w:tcPr>
            <w:tcW w:type="dxa" w:w="306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10 лет; 0,05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[1], контроль эффективности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λ₀; λ₁</w:t>
            </w:r>
          </w:p>
        </w:tc>
        <w:tc>
          <w:tcPr>
            <w:tcW w:type="dxa" w:w="306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0,02 1/год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[1], условная частота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Dd₀; Di₀</w:t>
            </w:r>
          </w:p>
        </w:tc>
        <w:tc>
          <w:tcPr>
            <w:tcW w:type="dxa" w:w="306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910 000; 480 000 руб.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[1], контроль ущерба события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Dd₁; Di₁ в базе</w:t>
            </w:r>
          </w:p>
        </w:tc>
        <w:tc>
          <w:tcPr>
            <w:tcW w:type="dxa" w:w="306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910 000; 480 000 руб.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Нейтральный контроль одинаковых потерь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I; cM</w:t>
            </w:r>
          </w:p>
        </w:tc>
        <w:tc>
          <w:tcPr>
            <w:tcW w:type="dxa" w:w="306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40 000 руб.; 1 000 руб./год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[1], контроль эффективности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ω; xᵢ(0)</w:t>
            </w:r>
          </w:p>
        </w:tc>
        <w:tc>
          <w:tcPr>
            <w:tcW w:type="dxa" w:w="306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0 1/год; 0 руб.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Нет обновления и начальных накоплений</w:t>
            </w:r>
          </w:p>
        </w:tc>
      </w:tr>
    </w:tbl>
    <w:p>
      <w:r>
        <w:t>Для численного контроля динамики принят односценарный пример: каждое модельное событие имеет денежные последствия контрольного пожара первой работы. Это условие вычислительного эксперимента; оно не выводит средний ущерб реальных пожаров из единственного события. Отдельный трёхсценарный прогноз первой работы воспроизводится в калькуляторе без изменений.</w:t>
      </w:r>
    </w:p>
    <w:p>
      <w:r>
        <w:t>Все числа раздела 12 первой работы прямо обозначены в нём как условные. Проценты снижения 20% и 50% выбраны как уровни анализа чувствительности. Для прикладного расчёта их заменяют подтверждёнными данными обследования, сметами, статистикой частот и результатами оценки защитного мероприятия. Наличие источника формулы не превращает демонстрационные входы в измеренные данные.</w:t>
      </w:r>
    </w:p>
    <w:p>
      <w:pPr>
        <w:pStyle w:val="Heading1"/>
      </w:pPr>
      <w:r>
        <w:t>6 Численный метод и программная реализация</w:t>
      </w:r>
    </w:p>
    <w:p>
      <w:r>
        <w:t>Использован scipy.integrate.solve_ivp с методом RK45 [6]. Относительный допуск — 10⁻⁹, абсолютный — 10⁻⁷ руб., максимальный шаг — T/120. Результат выводится в 241 точке. Точки разрывов внешних функций задаются отдельно; интегрирование выполняется по участкам. Для постоянных входов программа также вычисляет точные выражения (6)–(7) и сравнивает их с численным решением.</w:t>
      </w:r>
    </w:p>
    <w:p>
      <w:r>
        <w:t>Интерфейс написан на HTML, CSS и JavaScript. Одинаковый Python-модуль используется в локальном сервере и в Pyodide в браузере. Математические выражения разбираются ограниченным интерпретатором арифметики: исполняемый Python-код, доступ к файлам, атрибутам и импорту запрещены. Проверяются конечность значений, неотрицательность потоков и накопленных затрат, допустимость входных параметров.</w:t>
      </w:r>
    </w:p>
    <w:p>
      <w:r>
        <w:t>Предусмотрены экспорт временных рядов и экспериментов в CSV, экспорт финансового результата в JSON, сохранение и загрузка параметров с формулами, указанием источника и даты цен. При изменении полей прежний результат помечается как требующий пересчёта.</w:t>
      </w:r>
    </w:p>
    <w:p>
      <w:pPr>
        <w:pStyle w:val="Heading1"/>
      </w:pPr>
      <w:r>
        <w:t>7 Контрольный расчёт первой лабораторной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969"/>
        <w:gridCol w:w="294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Позиция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Расчёт</w:t>
            </w:r>
          </w:p>
        </w:tc>
        <w:tc>
          <w:tcPr>
            <w:tcW w:type="dxa" w:w="294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Потери руб.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Отделка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200 × 3 000 × 0,60</w:t>
            </w:r>
          </w:p>
        </w:tc>
        <w:tc>
          <w:tcPr>
            <w:tcW w:type="dxa" w:w="294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360 000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Оборудование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5 × 120 000 × 0,50</w:t>
            </w:r>
          </w:p>
        </w:tc>
        <w:tc>
          <w:tcPr>
            <w:tcW w:type="dxa" w:w="294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300 000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Запасы</w:t>
            </w:r>
          </w:p>
        </w:tc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 × 250 000 × 0,80</w:t>
            </w:r>
          </w:p>
        </w:tc>
        <w:tc>
          <w:tcPr>
            <w:tcW w:type="dxa" w:w="294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200 000</w:t>
            </w:r>
          </w:p>
        </w:tc>
      </w:tr>
    </w:tbl>
    <w:p>
      <w:r>
        <w:t>До зачёта остатков: 860 000 руб. Прямой ущерб: 860 000 − 40 000 + 90 000 = 910 000 руб. Косвенный ущерб: 80 000 × 0,35 × 20 × 0,75 + 60 000 = 480 000 руб. Итог события: 1 390 000 руб.</w:t>
      </w:r>
    </w:p>
    <w:p>
      <w:r>
        <w:t>Для отдельного прогнозного набора сценариев средние потери составляют 860 000 и 557 000 руб./пожар. При частоте 0,02 1/год: EAL₀ = 17 200, EAL₁ = 11 140 руб./год. Сокращение ожидаемых потерь — 6 060 руб./год. NPV по годовым платежам первой работы: −928,02 руб.; BCR = 0,9806.</w:t>
      </w:r>
    </w:p>
    <w:p>
      <w:r>
        <w:t>Расчёт по формуле (2) поддерживает неодинаковые периоды. Например, пять суток полной остановки и пятнадцать суток с выручкой 40 000 руб./сут при исходных 80 000 руб./сут и маржинальности 0,35 дают 410 000 руб. с учётом 60 000 руб. временных расходов. Этот дополнительный пример служит проверкой суммирования по периодам.</w:t>
      </w:r>
    </w:p>
    <w:p>
      <w:pPr>
        <w:pStyle w:val="Heading1"/>
      </w:pPr>
      <w:r>
        <w:t>8 Графики характеристик модели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97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9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Шесть накопленных компонентов нейтрального контроля</w:t>
      </w:r>
    </w:p>
    <w:p>
      <w:r>
        <w:t>Прямые и косвенные потери обоих вариантов совпадают при равных исходных последствиях. Все компоненты неотрицательны. CM возрастает по мере накопления обслуживания, CA равен нулю при ω = 0. При положительной ставке дисконтирования прирост приведённых сумм со временем уменьшается.</w:t>
      </w:r>
    </w:p>
    <w:p>
      <w:pPr>
        <w:pStyle w:val="Heading1"/>
      </w:pPr>
      <w:r>
        <w:t>9 Воздействия и сравнение экспериментов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988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8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Внешние факторы пятого эксперимента</w:t>
      </w:r>
    </w:p>
    <w:p>
      <w:r>
        <w:t>Частота в пятом эксперименте увеличивается от 0,02 до 0,04 1/год для обоих вариантов. Стоимостные факторы постоянны. Каждый график имеет собственную подписанную единицу; частоты и денежные величины не смешиваются на одной оси.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74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Накопленные потери базы и варианта совместного снижения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9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p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Изменение чистого приведённого эффекта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2665"/>
        <w:gridCol w:w="1984"/>
      </w:tblGrid>
      <w:tr>
        <w:trPr>
          <w:cantSplit/>
          <w:tblHeader/>
        </w:trPr>
        <w:tc>
          <w:tcPr>
            <w:tcW w:type="dxa" w:w="470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Эксперимент</w:t>
            </w:r>
          </w:p>
        </w:tc>
        <w:tc>
          <w:tcPr>
            <w:tcW w:type="dxa" w:w="266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NPV руб.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BCR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Одинаковые потери</w:t>
            </w:r>
          </w:p>
        </w:tc>
        <w:tc>
          <w:tcPr>
            <w:tcW w:type="dxa" w:w="266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-47 913,21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0,0000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Прямые потери −20%</w:t>
            </w:r>
          </w:p>
        </w:tc>
        <w:tc>
          <w:tcPr>
            <w:tcW w:type="dxa" w:w="266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-19 109,13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0,6012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Косвенные потери −50%</w:t>
            </w:r>
          </w:p>
        </w:tc>
        <w:tc>
          <w:tcPr>
            <w:tcW w:type="dxa" w:w="266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-9 929,81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0,7928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Совместное снижение</w:t>
            </w:r>
          </w:p>
        </w:tc>
        <w:tc>
          <w:tcPr>
            <w:tcW w:type="dxa" w:w="266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18 874,27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1,3939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Рост частоты</w:t>
            </w:r>
          </w:p>
        </w:tc>
        <w:tc>
          <w:tcPr>
            <w:tcW w:type="dxa" w:w="2665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49 563,25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2,0344</w:t>
            </w:r>
          </w:p>
        </w:tc>
      </w:tr>
    </w:tbl>
    <w:p>
      <w:r>
        <w:t>При одинаковых последствиях защита не даёт учтённой экономии и NPV равен минус затратам. Уменьшение только одного вида потерь в выбранных условиях не покрывает вложения. Совместное снижение даёт положительный эффект 18 874,27 руб.; при возрастающей частоте — 49 563,25 руб. Это условные выводы для заданных входов, а не установленная эффективность конкретного оборудования.</w:t>
      </w:r>
    </w:p>
    <w:p>
      <w:pPr>
        <w:pStyle w:val="Heading1"/>
      </w:pPr>
      <w:r>
        <w:t>10 Лепестковые диаграммы всех экспериментов</w:t>
      </w:r>
    </w:p>
    <w:p>
      <w:r>
        <w:t>Используется нормированное время τ = t/T. Для каждого эксперимента показаны исходное состояние и конец каждой четверти интервала. Каждая денежная ось делится на общий для всей серии максимум соответствующей компоненты. Если максимум равен нулю, техническая шкала принимается равной 1 руб. Общие шкалы предотвращают ложное сходство диаграмм при независимой нормировке каждого эксперимента.</w:t>
      </w:r>
    </w:p>
    <w:p>
      <w:r>
        <w:t>Общие шкалы осей, руб.: Cdd₀ = 210 198,05; Cid₀ = 110 873,70; Cdd₁ = 168 158,44; Cid₁ = 75 966,80; CM = 7 913,21; CA = 1,00.</w:t>
      </w:r>
    </w:p>
    <w:p>
      <w:r>
        <w:t>Площадь лепестковой диаграммы не является интегральным риском или критерием выбора защиты. Выводы делаются по денежным суммам, NPV и BCR. Под рисунками приведены ненормированные значения конечного состояния.</w:t>
      </w:r>
    </w:p>
    <w:p>
      <w:pPr>
        <w:pStyle w:val="Heading1"/>
      </w:pPr>
      <w:r>
        <w:t>10.1 Одинаковые потери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253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Снимки эксперимента «Одинаковые потери»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Компонента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При T = 10 лет руб.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Cdd₀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144 020,40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Cid₀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75 966,80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Cdd₁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144 020,40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Cid₁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75 966,80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CM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7 913,21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CA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0,00</w:t>
            </w:r>
          </w:p>
        </w:tc>
      </w:tr>
    </w:tbl>
    <w:p>
      <w:r>
        <w:t>NPV = -47 913,21 руб.; BCR = 0,0000.</w:t>
      </w:r>
    </w:p>
    <w:p>
      <w:r>
        <w:br w:type="page"/>
      </w:r>
    </w:p>
    <w:p>
      <w:pPr>
        <w:pStyle w:val="Heading1"/>
      </w:pPr>
      <w:r>
        <w:t>10.2 Прямые потери −20%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253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Снимки эксперимента «Прямые потери −20%»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Компонента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При T = 10 лет руб.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Cdd₀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144 020,40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Cid₀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75 966,80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Cdd₁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115 216,32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Cid₁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75 966,80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CM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7 913,21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CA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0,00</w:t>
            </w:r>
          </w:p>
        </w:tc>
      </w:tr>
    </w:tbl>
    <w:p>
      <w:r>
        <w:t>NPV = -19 109,13 руб.; BCR = 0,6012.</w:t>
      </w:r>
    </w:p>
    <w:p>
      <w:r>
        <w:br w:type="page"/>
      </w:r>
    </w:p>
    <w:p>
      <w:pPr>
        <w:pStyle w:val="Heading1"/>
      </w:pPr>
      <w:r>
        <w:t>10.3 Косвенные потери −50%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253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Снимки эксперимента «Косвенные потери −50%»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Компонента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При T = 10 лет руб.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Cdd₀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144 020,40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Cid₀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75 966,80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Cdd₁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144 020,40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Cid₁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37 983,40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CM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7 913,21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CA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0,00</w:t>
            </w:r>
          </w:p>
        </w:tc>
      </w:tr>
    </w:tbl>
    <w:p>
      <w:r>
        <w:t>NPV = -9 929,81 руб.; BCR = 0,7928.</w:t>
      </w:r>
    </w:p>
    <w:p>
      <w:r>
        <w:br w:type="page"/>
      </w:r>
    </w:p>
    <w:p>
      <w:pPr>
        <w:pStyle w:val="Heading1"/>
      </w:pPr>
      <w:r>
        <w:t>10.4 Совместное снижение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253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 — Снимки эксперимента «Совместное снижение»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Компонента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При T = 10 лет руб.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Cdd₀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144 020,40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Cid₀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75 966,80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Cdd₁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115 216,32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Cid₁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37 983,40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CM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7 913,21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CA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0,00</w:t>
            </w:r>
          </w:p>
        </w:tc>
      </w:tr>
    </w:tbl>
    <w:p>
      <w:r>
        <w:t>NPV = 18 874,27 руб.; BCR = 1,3939.</w:t>
      </w:r>
    </w:p>
    <w:p>
      <w:r>
        <w:br w:type="page"/>
      </w:r>
    </w:p>
    <w:p>
      <w:pPr>
        <w:pStyle w:val="Heading1"/>
      </w:pPr>
      <w:r>
        <w:t>10.5 Рост частоты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253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9 — Снимки эксперимента «Рост частоты»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Компонента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При T = 10 лет руб.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Cdd₀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210 198,05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Cid₀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110 873,70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Cdd₁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168 158,44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Cid₁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55 436,85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CM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7 913,21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CA</w:t>
            </w:r>
          </w:p>
        </w:tc>
        <w:tc>
          <w:tcPr>
            <w:tcW w:type="dxa" w:w="538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0,00</w:t>
            </w:r>
          </w:p>
        </w:tc>
      </w:tr>
    </w:tbl>
    <w:p>
      <w:r>
        <w:t>NPV = 49 563,25 руб.; BCR = 2,0344.</w:t>
      </w:r>
    </w:p>
    <w:p>
      <w:pPr>
        <w:pStyle w:val="Heading1"/>
      </w:pPr>
      <w:r>
        <w:t>11 Проверка реализации и интерпретации</w:t>
      </w:r>
    </w:p>
    <w:p>
      <w:r>
        <w:t>Выполнены 32 автоматических теста. Для каждого из шести стандартных уравнений численный результат сопоставлен с аналитическим решением. Проверены нулевая ставка, частота и затраты, ненулевые начальные условия, тождество NPV, удвоение частоты, пользовательские формулы и запрещённые конструкции. Для переменной частоты результат независимо сравнивается с scipy.integrate.quad; для разрывной функции проверяется разбиение интервала.</w:t>
      </w:r>
    </w:p>
    <w:p>
      <w:r>
        <w:t>Контроль первой лабораторной проверен до неокруглённых значений. Для полного расчёта простоя сопоставлены суммы по периодам; для финансовых потоков проверены отдельные годы, замена и остаточная стоимость. Сравнение RK45 и DOP853 служит дополнительной численной проверкой. Эти тесты подтверждают реализацию формул, а не эмпирическую точность условных исходных данных.</w:t>
      </w:r>
    </w:p>
    <w:p>
      <w:r>
        <w:t>Максимальное абсолютное расхождение нейтрального контроля с точным решением в текущем расчёте: 5.821e-11 руб. Порог проверки — 0,001 руб.</w:t>
      </w:r>
    </w:p>
    <w:p>
      <w:r>
        <w:t>Годовой NPV калькулятора и непрерывный NPV динамической модели различаются моментами учёта потоков. γ = ln(1+r) согласует ставки, но не превращает непрерывный поток в платежи на конец каждого года. Для контрольного прогноза первой работы аннуитет равен 7,721735, а непрерывный множитель — 7,913209; подмена одного другим изменила бы результат. В приложении режимы разделены и подписаны.</w:t>
      </w:r>
    </w:p>
    <w:p>
      <w:pPr>
        <w:pStyle w:val="Heading1"/>
      </w:pPr>
      <w:r>
        <w:t>12 Порядок запуска и выводы</w:t>
      </w:r>
    </w:p>
    <w:p>
      <w:r>
        <w:t>Онлайн: https://14kear.github.io/fire-damage-calculator/. Первая загрузка Python и SciPy требует интернета. Локально: установить Python 3.11 или новее, выполнить python -m pip install -r requirements.txt и python server.py; открыть http://127.0.0.1:8765. После установки зависимостей локальный расчёт не зависит от загрузки Pyodide.</w:t>
      </w:r>
    </w:p>
    <w:p>
      <w:r>
        <w:t>Для демонстрации открыть калькулятор и контрольный пример, затем динамическую модель и совместное снижение потерь. Показать формулы источника, пересчёт, пять экспериментов, диаграммы и экспорт. Произвольные формулы нужны для выполнения требований задания; для основной защиты используется стандартная система источника.</w:t>
      </w:r>
    </w:p>
    <w:p>
      <w:r>
        <w:t>Реализованы четыре экономических блока первой работы и динамическая оценка по опубликованным интегралам FPRF. Модель сохраняет прямые и косвенные потери, обслуживание и затраты при обновлении объекта. Результаты воспроизводимы, формулы прослеживаются до источников. Для реального объекта необходимы подтверждённые входные данные; универсальная точность для любого пожара не заявляется.</w:t>
      </w:r>
    </w:p>
    <w:p>
      <w:pPr>
        <w:pStyle w:val="Heading1"/>
      </w:pPr>
      <w:r>
        <w:t>Использованные источники</w:t>
      </w:r>
    </w:p>
    <w:p>
      <w:pPr>
        <w:ind w:firstLine="0"/>
      </w:pPr>
      <w:r>
        <w:rPr>
          <w:sz w:val="24"/>
        </w:rPr>
        <w:t>1. Модели и методы определения ущерба от пожаров. Первая лабораторная работа, предоставленная авторами. Разделы 3, 4, 6.2, 8.1, 12.</w:t>
      </w:r>
    </w:p>
    <w:p>
      <w:pPr>
        <w:ind w:firstLine="0"/>
      </w:pPr>
      <w:r>
        <w:rPr>
          <w:sz w:val="24"/>
        </w:rPr>
        <w:t>2. Van Coile R., Lucherini A., Chaudhary R.K., Ni S., Unobe D., Gernay T. Economic Impact of Fire: Cost and Impact of Fire Protection in Buildings. Fire Protection Research Foundation. FPRF-2022-13. August 2022. Раздел 2.3, с. 14–18. https://content.nfpa.org/-/media/Project/Storefront/Catalog/Files/Research/Research-Foundation/Reports/RFEconomicIImpact.pdf</w:t>
      </w:r>
    </w:p>
    <w:p>
      <w:pPr>
        <w:ind w:firstLine="0"/>
      </w:pPr>
      <w:r>
        <w:rPr>
          <w:sz w:val="24"/>
        </w:rPr>
        <w:t>3. Gernay T. et al. Cost–Benefit Analysis of Fire Protection in Buildings: Application of a Present Net Value Approach // Fire Technology. 2023. Vol. 59. P. 2023–2053. DOI: 10.1007/s10694-023-01419-2. Открытая рукопись: https://biblio.ugent.be/publication/01H08SCX2YZ4NKSY8K7QWNWVHE</w:t>
      </w:r>
    </w:p>
    <w:p>
      <w:pPr>
        <w:ind w:firstLine="0"/>
      </w:pPr>
      <w:r>
        <w:rPr>
          <w:sz w:val="24"/>
        </w:rPr>
        <w:t>4. Моделирование последствий выброса химически опасных веществ на промышленном объекте. Задание. С. 7, пп. 1–10. Примеры «Качество ПО» и «Продуктовая компания». Папка «Задание студентам 2025 второе».</w:t>
      </w:r>
    </w:p>
    <w:p>
      <w:pPr>
        <w:ind w:firstLine="0"/>
      </w:pPr>
      <w:r>
        <w:rPr>
          <w:sz w:val="24"/>
        </w:rPr>
        <w:t>5. Приказ МЧС России от 01.09.2020 № 631. Проверенный текст в редакции от 24.07.2022. Пп. 8, 10. https://mchs.gov.ru/uploads/document/2022-09-27/17bd36e85bcc886ef5eeb638681ed28b.pdf</w:t>
      </w:r>
    </w:p>
    <w:p>
      <w:pPr>
        <w:ind w:firstLine="0"/>
      </w:pPr>
      <w:r>
        <w:rPr>
          <w:sz w:val="24"/>
        </w:rPr>
        <w:t>6. SciPy. scipy.integrate.solve_ivp. https://docs.scipy.org/doc/scipy/reference/generated/scipy.integrate.solve_ivp.html</w:t>
      </w:r>
    </w:p>
    <w:p>
      <w:pPr>
        <w:ind w:firstLine="0"/>
      </w:pPr>
      <w:r>
        <w:rPr>
          <w:sz w:val="24"/>
        </w:rPr>
        <w:t>7. Pyodide. Using Pyodide in a web worker. https://pyodide.org/en/0.29.2/usage/webworker.html</w:t>
      </w:r>
    </w:p>
    <w:p>
      <w:r>
        <w:t>Электронные источники проверены 14.10.2026. Нумерация формул (1)–(15) относится к этому отчёту; номера формул первоисточников приведены отдельно в разделе 2.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center"/>
      <w:outlineLvl w:val="1"/>
    </w:pPr>
    <w:rPr>
      <w:rFonts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 w:before="0"/>
      <w:ind w:firstLine="0"/>
      <w:contextualSpacing/>
      <w:jc w:val="center"/>
    </w:pPr>
    <w:rPr>
      <w:rFonts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60" w:lineRule="auto" w:before="0"/>
      <w:ind w:firstLine="0"/>
      <w:jc w:val="center"/>
    </w:pPr>
    <w:rPr>
      <w:rFonts w:cstheme="majorBidi" w:ascii="Times New Roman" w:hAnsi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 w:before="0"/>
      <w:ind w:firstLine="0"/>
      <w:jc w:val="center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