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KR20240121901A 분석보고서</w:t>
      </w:r>
    </w:p>
    <w:p>
      <w:pPr>
        <w:spacing w:after="300"/>
        <w:jc w:val="center"/>
      </w:pPr>
      <w:r>
        <w:rPr>
          <w:i/>
          <w:iCs/>
          <w:sz w:val="22"/>
          <w:szCs w:val="22"/>
        </w:rPr>
        <w:t xml:space="preserve">피쳐에 산화물 층을 형성하기 위한 이중 압력 산화 방법 (Applied Materials, Inc.)</w:t>
      </w:r>
    </w:p>
    <w:p>
      <w:pPr>
        <w:pStyle w:val="Heading1"/>
        <w:spacing w:after="160" w:before="32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8E8" w:color="auto" w:val="clear"/>
            <w:tcMar>
              <w:top w:type="dxa" w:w="80"/>
              <w:left w:type="dxa" w:w="100"/>
              <w:bottom w:type="dxa" w:w="80"/>
              <w:right w:type="dxa" w:w="100"/>
            </w:tcMar>
            <w:vAlign w:val="center"/>
          </w:tcPr>
          <w:p>
            <w:r>
              <w:rPr>
                <w:b/>
                <w:bCs/>
                <w:sz w:val="20"/>
                <w:szCs w:val="20"/>
              </w:rPr>
              <w:t xml:space="preserve">문서유형</w:t>
            </w:r>
          </w:p>
        </w:tc>
        <w:tc>
          <w:tcPr>
            <w:tcW w:type="pct" w:w="78%"/>
            <w:tcMar>
              <w:top w:type="dxa" w:w="80"/>
              <w:left w:type="dxa" w:w="100"/>
              <w:bottom w:type="dxa" w:w="80"/>
              <w:right w:type="dxa" w:w="100"/>
            </w:tcMar>
            <w:vAlign w:val="center"/>
          </w:tcPr>
          <w:p>
            <w:r>
              <w:rPr>
                <w:b w:val="false"/>
                <w:bCs w:val="false"/>
                <w:sz w:val="20"/>
                <w:szCs w:val="20"/>
              </w:rPr>
              <w:t xml:space="preserve">공개특허공보(A) — 대한민국, PCT 국제출원의 국내단계 진입</w:t>
            </w:r>
          </w:p>
        </w:tc>
      </w:tr>
      <w:tr>
        <w:tc>
          <w:tcPr>
            <w:tcW w:type="pct" w:w="22%"/>
            <w:shd w:fill="E8E8E8" w:color="auto" w:val="clear"/>
            <w:tcMar>
              <w:top w:type="dxa" w:w="80"/>
              <w:left w:type="dxa" w:w="100"/>
              <w:bottom w:type="dxa" w:w="80"/>
              <w:right w:type="dxa" w:w="100"/>
            </w:tcMar>
            <w:vAlign w:val="center"/>
          </w:tcPr>
          <w:p>
            <w:r>
              <w:rPr>
                <w:b/>
                <w:bCs/>
                <w:sz w:val="20"/>
                <w:szCs w:val="20"/>
              </w:rPr>
              <w:t xml:space="preserve">공개번호 / 공개일자</w:t>
            </w:r>
          </w:p>
        </w:tc>
        <w:tc>
          <w:tcPr>
            <w:tcW w:type="pct" w:w="78%"/>
            <w:tcMar>
              <w:top w:type="dxa" w:w="80"/>
              <w:left w:type="dxa" w:w="100"/>
              <w:bottom w:type="dxa" w:w="80"/>
              <w:right w:type="dxa" w:w="100"/>
            </w:tcMar>
            <w:vAlign w:val="center"/>
          </w:tcPr>
          <w:p>
            <w:r>
              <w:rPr>
                <w:b w:val="false"/>
                <w:bCs w:val="false"/>
                <w:sz w:val="20"/>
                <w:szCs w:val="20"/>
              </w:rPr>
              <w:t xml:space="preserve">10-2024-0121901 / 2024년 08월 09일</w:t>
            </w:r>
          </w:p>
        </w:tc>
      </w:tr>
      <w:tr>
        <w:tc>
          <w:tcPr>
            <w:tcW w:type="pct" w:w="22%"/>
            <w:shd w:fill="E8E8E8" w:color="auto" w:val="clear"/>
            <w:tcMar>
              <w:top w:type="dxa" w:w="80"/>
              <w:left w:type="dxa" w:w="100"/>
              <w:bottom w:type="dxa" w:w="80"/>
              <w:right w:type="dxa" w:w="100"/>
            </w:tcMar>
            <w:vAlign w:val="center"/>
          </w:tcPr>
          <w:p>
            <w:r>
              <w:rPr>
                <w:b/>
                <w:bCs/>
                <w:sz w:val="20"/>
                <w:szCs w:val="20"/>
              </w:rPr>
              <w:t xml:space="preserve">발명의 명칭</w:t>
            </w:r>
          </w:p>
        </w:tc>
        <w:tc>
          <w:tcPr>
            <w:tcW w:type="pct" w:w="78%"/>
            <w:tcMar>
              <w:top w:type="dxa" w:w="80"/>
              <w:left w:type="dxa" w:w="100"/>
              <w:bottom w:type="dxa" w:w="80"/>
              <w:right w:type="dxa" w:w="100"/>
            </w:tcMar>
            <w:vAlign w:val="center"/>
          </w:tcPr>
          <w:p>
            <w:r>
              <w:rPr>
                <w:b w:val="false"/>
                <w:bCs w:val="false"/>
                <w:sz w:val="20"/>
                <w:szCs w:val="20"/>
              </w:rPr>
              <w:t xml:space="preserve">피쳐에 산화물 층을 형성하기 위한 이중 압력 산화 방법 (Dual Pressure Oxidation Method for Forming an Oxide Layer in a Feature)</w:t>
            </w:r>
          </w:p>
        </w:tc>
      </w:tr>
      <w:tr>
        <w:tc>
          <w:tcPr>
            <w:tcW w:type="pct" w:w="22%"/>
            <w:shd w:fill="E8E8E8" w:color="auto" w:val="clear"/>
            <w:tcMar>
              <w:top w:type="dxa" w:w="80"/>
              <w:left w:type="dxa" w:w="100"/>
              <w:bottom w:type="dxa" w:w="80"/>
              <w:right w:type="dxa" w:w="100"/>
            </w:tcMar>
            <w:vAlign w:val="center"/>
          </w:tcPr>
          <w:p>
            <w:r>
              <w:rPr>
                <w:b/>
                <w:bCs/>
                <w:sz w:val="20"/>
                <w:szCs w:val="20"/>
              </w:rPr>
              <w:t xml:space="preserve">출원인</w:t>
            </w:r>
          </w:p>
        </w:tc>
        <w:tc>
          <w:tcPr>
            <w:tcW w:type="pct" w:w="78%"/>
            <w:tcMar>
              <w:top w:type="dxa" w:w="80"/>
              <w:left w:type="dxa" w:w="100"/>
              <w:bottom w:type="dxa" w:w="80"/>
              <w:right w:type="dxa" w:w="100"/>
            </w:tcMar>
            <w:vAlign w:val="center"/>
          </w:tcPr>
          <w:p>
            <w:r>
              <w:rPr>
                <w:b w:val="false"/>
                <w:bCs w:val="false"/>
                <w:sz w:val="20"/>
                <w:szCs w:val="20"/>
              </w:rPr>
              <w:t xml:space="preserve">어플라이드 머티어리얼스, 인코포레이티드 (Applied Materials, Inc.) — 미국 캘리포니아주 산타클라라</w:t>
            </w:r>
          </w:p>
        </w:tc>
      </w:tr>
      <w:tr>
        <w:tc>
          <w:tcPr>
            <w:tcW w:type="pct" w:w="22%"/>
            <w:shd w:fill="E8E8E8" w:color="auto" w:val="clear"/>
            <w:tcMar>
              <w:top w:type="dxa" w:w="80"/>
              <w:left w:type="dxa" w:w="100"/>
              <w:bottom w:type="dxa" w:w="80"/>
              <w:right w:type="dxa" w:w="100"/>
            </w:tcMar>
            <w:vAlign w:val="center"/>
          </w:tcPr>
          <w:p>
            <w:r>
              <w:rPr>
                <w:b/>
                <w:bCs/>
                <w:sz w:val="20"/>
                <w:szCs w:val="20"/>
              </w:rPr>
              <w:t xml:space="preserve">발명자</w:t>
            </w:r>
          </w:p>
        </w:tc>
        <w:tc>
          <w:tcPr>
            <w:tcW w:type="pct" w:w="78%"/>
            <w:tcMar>
              <w:top w:type="dxa" w:w="80"/>
              <w:left w:type="dxa" w:w="100"/>
              <w:bottom w:type="dxa" w:w="80"/>
              <w:right w:type="dxa" w:w="100"/>
            </w:tcMar>
            <w:vAlign w:val="center"/>
          </w:tcPr>
          <w:p>
            <w:r>
              <w:rPr>
                <w:b w:val="false"/>
                <w:bCs w:val="false"/>
                <w:sz w:val="20"/>
                <w:szCs w:val="20"/>
              </w:rPr>
              <w:t xml:space="preserve">올슨, 크리스토퍼 에스.(Christopher S. Olsen) / 조지, 르네(Rene George) / 양, 청-한(Cheng-Han Yang) / 냅, 데이비드(David Nabbe) / 호릴척, 라라(원문 음역, 영문 표기 미상)</w:t>
            </w:r>
          </w:p>
        </w:tc>
      </w:tr>
      <w:tr>
        <w:tc>
          <w:tcPr>
            <w:tcW w:type="pct" w:w="22%"/>
            <w:shd w:fill="E8E8E8" w:color="auto" w:val="clear"/>
            <w:tcMar>
              <w:top w:type="dxa" w:w="80"/>
              <w:left w:type="dxa" w:w="100"/>
              <w:bottom w:type="dxa" w:w="80"/>
              <w:right w:type="dxa" w:w="100"/>
            </w:tcMar>
            <w:vAlign w:val="center"/>
          </w:tcPr>
          <w:p>
            <w:r>
              <w:rPr>
                <w:b/>
                <w:bCs/>
                <w:sz w:val="20"/>
                <w:szCs w:val="20"/>
              </w:rPr>
              <w:t xml:space="preserve">출원번호 / 출원일</w:t>
            </w:r>
          </w:p>
        </w:tc>
        <w:tc>
          <w:tcPr>
            <w:tcW w:type="pct" w:w="78%"/>
            <w:tcMar>
              <w:top w:type="dxa" w:w="80"/>
              <w:left w:type="dxa" w:w="100"/>
              <w:bottom w:type="dxa" w:w="80"/>
              <w:right w:type="dxa" w:w="100"/>
            </w:tcMar>
            <w:vAlign w:val="center"/>
          </w:tcPr>
          <w:p>
            <w:r>
              <w:rPr>
                <w:b w:val="false"/>
                <w:bCs w:val="false"/>
                <w:sz w:val="20"/>
                <w:szCs w:val="20"/>
              </w:rPr>
              <w:t xml:space="preserve">10-2024-7025582 / 국제출원일 2022년 11월 29일 (국내 번역문 제출일 2024년 07월 29일)</w:t>
            </w:r>
          </w:p>
        </w:tc>
      </w:tr>
      <w:tr>
        <w:tc>
          <w:tcPr>
            <w:tcW w:type="pct" w:w="22%"/>
            <w:shd w:fill="E8E8E8" w:color="auto" w:val="clear"/>
            <w:tcMar>
              <w:top w:type="dxa" w:w="80"/>
              <w:left w:type="dxa" w:w="100"/>
              <w:bottom w:type="dxa" w:w="80"/>
              <w:right w:type="dxa" w:w="100"/>
            </w:tcMar>
            <w:vAlign w:val="center"/>
          </w:tcPr>
          <w:p>
            <w:r>
              <w:rPr>
                <w:b/>
                <w:bCs/>
                <w:sz w:val="20"/>
                <w:szCs w:val="20"/>
              </w:rPr>
              <w:t xml:space="preserve">국제출원 / 국제공개</w:t>
            </w:r>
          </w:p>
        </w:tc>
        <w:tc>
          <w:tcPr>
            <w:tcW w:type="pct" w:w="78%"/>
            <w:tcMar>
              <w:top w:type="dxa" w:w="80"/>
              <w:left w:type="dxa" w:w="100"/>
              <w:bottom w:type="dxa" w:w="80"/>
              <w:right w:type="dxa" w:w="100"/>
            </w:tcMar>
            <w:vAlign w:val="center"/>
          </w:tcPr>
          <w:p>
            <w:r>
              <w:rPr>
                <w:b w:val="false"/>
                <w:bCs w:val="false"/>
                <w:sz w:val="20"/>
                <w:szCs w:val="20"/>
              </w:rPr>
              <w:t xml:space="preserve">PCT/US2022/051135 / WO 2023/129315 (2023년 07월 06일)</w:t>
            </w:r>
          </w:p>
        </w:tc>
      </w:tr>
      <w:tr>
        <w:tc>
          <w:tcPr>
            <w:tcW w:type="pct" w:w="22%"/>
            <w:shd w:fill="E8E8E8" w:color="auto" w:val="clear"/>
            <w:tcMar>
              <w:top w:type="dxa" w:w="80"/>
              <w:left w:type="dxa" w:w="100"/>
              <w:bottom w:type="dxa" w:w="80"/>
              <w:right w:type="dxa" w:w="100"/>
            </w:tcMar>
            <w:vAlign w:val="center"/>
          </w:tcPr>
          <w:p>
            <w:r>
              <w:rPr>
                <w:b/>
                <w:bCs/>
                <w:sz w:val="20"/>
                <w:szCs w:val="20"/>
              </w:rPr>
              <w:t xml:space="preserve">우선권주장</w:t>
            </w:r>
          </w:p>
        </w:tc>
        <w:tc>
          <w:tcPr>
            <w:tcW w:type="pct" w:w="78%"/>
            <w:tcMar>
              <w:top w:type="dxa" w:w="80"/>
              <w:left w:type="dxa" w:w="100"/>
              <w:bottom w:type="dxa" w:w="80"/>
              <w:right w:type="dxa" w:w="100"/>
            </w:tcMar>
            <w:vAlign w:val="center"/>
          </w:tcPr>
          <w:p>
            <w:r>
              <w:rPr>
                <w:b w:val="false"/>
                <w:bCs w:val="false"/>
                <w:sz w:val="20"/>
                <w:szCs w:val="20"/>
              </w:rPr>
              <w:t xml:space="preserve">US 17/716,419 (2022.04.08) / US 63/294,683 (2021.12.29, 가출원)</w:t>
            </w:r>
          </w:p>
        </w:tc>
      </w:tr>
      <w:tr>
        <w:tc>
          <w:tcPr>
            <w:tcW w:type="pct" w:w="22%"/>
            <w:shd w:fill="E8E8E8" w:color="auto" w:val="clear"/>
            <w:tcMar>
              <w:top w:type="dxa" w:w="80"/>
              <w:left w:type="dxa" w:w="100"/>
              <w:bottom w:type="dxa" w:w="80"/>
              <w:right w:type="dxa" w:w="100"/>
            </w:tcMar>
            <w:vAlign w:val="center"/>
          </w:tcPr>
          <w:p>
            <w:r>
              <w:rPr>
                <w:b/>
                <w:bCs/>
                <w:sz w:val="20"/>
                <w:szCs w:val="20"/>
              </w:rPr>
              <w:t xml:space="preserve">패밀리관계</w:t>
            </w:r>
          </w:p>
        </w:tc>
        <w:tc>
          <w:tcPr>
            <w:tcW w:type="pct" w:w="78%"/>
            <w:tcMar>
              <w:top w:type="dxa" w:w="80"/>
              <w:left w:type="dxa" w:w="100"/>
              <w:bottom w:type="dxa" w:w="80"/>
              <w:right w:type="dxa" w:w="100"/>
            </w:tcMar>
            <w:vAlign w:val="center"/>
          </w:tcPr>
          <w:p>
            <w:r>
              <w:rPr>
                <w:b w:val="false"/>
                <w:bCs w:val="false"/>
                <w:sz w:val="20"/>
                <w:szCs w:val="20"/>
              </w:rPr>
              <w:t xml:space="preserve">PCT 국제출원에 기반한 각국 진입 패밀리 존재 가능성이 있으나, 본 문서 내 대응 미국·유럽 등록번호는 확인되지 않음 — 문서상 확인 불가</w:t>
            </w:r>
          </w:p>
        </w:tc>
      </w:tr>
      <w:tr>
        <w:tc>
          <w:tcPr>
            <w:tcW w:type="pct" w:w="22%"/>
            <w:shd w:fill="E8E8E8" w:color="auto" w:val="clear"/>
            <w:tcMar>
              <w:top w:type="dxa" w:w="80"/>
              <w:left w:type="dxa" w:w="100"/>
              <w:bottom w:type="dxa" w:w="80"/>
              <w:right w:type="dxa" w:w="100"/>
            </w:tcMar>
            <w:vAlign w:val="center"/>
          </w:tcPr>
          <w:p>
            <w:r>
              <w:rPr>
                <w:b/>
                <w:bCs/>
                <w:sz w:val="20"/>
                <w:szCs w:val="20"/>
              </w:rPr>
              <w:t xml:space="preserve">IPC / CPC</w:t>
            </w:r>
          </w:p>
        </w:tc>
        <w:tc>
          <w:tcPr>
            <w:tcW w:type="pct" w:w="78%"/>
            <w:tcMar>
              <w:top w:type="dxa" w:w="80"/>
              <w:left w:type="dxa" w:w="100"/>
              <w:bottom w:type="dxa" w:w="80"/>
              <w:right w:type="dxa" w:w="100"/>
            </w:tcMar>
            <w:vAlign w:val="center"/>
          </w:tcPr>
          <w:p>
            <w:r>
              <w:rPr>
                <w:b w:val="false"/>
                <w:bCs w:val="false"/>
                <w:sz w:val="20"/>
                <w:szCs w:val="20"/>
              </w:rPr>
              <w:t xml:space="preserve">H01L 21/02, C23C 8/12, C23C 8/36, H01J 37/32, H10B 69/00 등
(세부 CPC: H01L 21/02238·02252·02255·02326·0234, H01J 37/321·32357·3244·32816 등)</w:t>
            </w:r>
          </w:p>
        </w:tc>
      </w:tr>
      <w:tr>
        <w:tc>
          <w:tcPr>
            <w:tcW w:type="pct" w:w="22%"/>
            <w:shd w:fill="E8E8E8" w:color="auto" w:val="clear"/>
            <w:tcMar>
              <w:top w:type="dxa" w:w="80"/>
              <w:left w:type="dxa" w:w="100"/>
              <w:bottom w:type="dxa" w:w="80"/>
              <w:right w:type="dxa" w:w="100"/>
            </w:tcMar>
            <w:vAlign w:val="center"/>
          </w:tcPr>
          <w:p>
            <w:r>
              <w:rPr>
                <w:b/>
                <w:bCs/>
                <w:sz w:val="20"/>
                <w:szCs w:val="20"/>
              </w:rPr>
              <w:t xml:space="preserve">청구항 수</w:t>
            </w:r>
          </w:p>
        </w:tc>
        <w:tc>
          <w:tcPr>
            <w:tcW w:type="pct" w:w="78%"/>
            <w:tcMar>
              <w:top w:type="dxa" w:w="80"/>
              <w:left w:type="dxa" w:w="100"/>
              <w:bottom w:type="dxa" w:w="80"/>
              <w:right w:type="dxa" w:w="100"/>
            </w:tcMar>
            <w:vAlign w:val="center"/>
          </w:tcPr>
          <w:p>
            <w:r>
              <w:rPr>
                <w:b w:val="false"/>
                <w:bCs w:val="false"/>
                <w:sz w:val="20"/>
                <w:szCs w:val="20"/>
              </w:rPr>
              <w:t xml:space="preserve">총 20항 (독립항 3개 — 장치 청구항1, 매체 청구항7, 방법 청구항11)</w:t>
            </w:r>
          </w:p>
        </w:tc>
      </w:tr>
      <w:tr>
        <w:tc>
          <w:tcPr>
            <w:tcW w:type="pct" w:w="22%"/>
            <w:shd w:fill="E8E8E8" w:color="auto" w:val="clear"/>
            <w:tcMar>
              <w:top w:type="dxa" w:w="80"/>
              <w:left w:type="dxa" w:w="100"/>
              <w:bottom w:type="dxa" w:w="80"/>
              <w:right w:type="dxa" w:w="100"/>
            </w:tcMar>
            <w:vAlign w:val="center"/>
          </w:tcPr>
          <w:p>
            <w:r>
              <w:rPr>
                <w:b/>
                <w:bCs/>
                <w:sz w:val="20"/>
                <w:szCs w:val="20"/>
              </w:rPr>
              <w:t xml:space="preserve">다루는 공정</w:t>
            </w:r>
          </w:p>
        </w:tc>
        <w:tc>
          <w:tcPr>
            <w:tcW w:type="pct" w:w="78%"/>
            <w:tcMar>
              <w:top w:type="dxa" w:w="80"/>
              <w:left w:type="dxa" w:w="100"/>
              <w:bottom w:type="dxa" w:w="80"/>
              <w:right w:type="dxa" w:w="100"/>
            </w:tcMar>
            <w:vAlign w:val="center"/>
          </w:tcPr>
          <w:p>
            <w:r>
              <w:rPr>
                <w:b w:val="false"/>
                <w:bCs w:val="false"/>
                <w:sz w:val="20"/>
                <w:szCs w:val="20"/>
              </w:rPr>
              <w:t xml:space="preserve">3D NAND 등 고종횡비(HAR, High Aspect Ratio) 구조 내 등각 산화(conformal oxidation) — 고압 산화제 노출 + 저압 산소 함유 플라즈마 노출의 2단계(이중 압력) 산화 공정</w:t>
            </w:r>
          </w:p>
        </w:tc>
      </w:tr>
    </w:tbl>
    <w:p>
      <w:pPr>
        <w:pStyle w:val="Heading1"/>
        <w:spacing w:after="160" w:before="320"/>
      </w:pPr>
      <w:r>
        <w:t xml:space="preserve">1. 핵심 요약</w:t>
      </w:r>
    </w:p>
    <w:p>
      <w:pPr>
        <w:pStyle w:val="ListParagraph"/>
        <w:numPr>
          <w:ilvl w:val="0"/>
          <w:numId w:val="1"/>
        </w:numPr>
        <w:spacing w:after="80"/>
      </w:pPr>
      <w:r>
        <w:t xml:space="preserve">고종횡비(HAR, 종횡비 70:1~170:1 초과) 3D NAND 채널홀 등 피처에서, ①20~760 Torr급 고압 산화제(O3/H2O/H2O2 등) 노출로 1~3 nm의 등각(conformal) 베이스 산화막을 형성하고, ②10 Torr 미만(산소 라디칼 수명이 최적화되는 1~3 Torr 구간 포함)의 저압 산소 함유 플라즈마로 2~10 nm를 추가 성장시켜 95% 초과의 등각성을 확보하는 2단계(이중 압력) 산화 방법 및 이를 수행하는 장치.</w:t>
      </w:r>
    </w:p>
    <w:p>
      <w:pPr>
        <w:pStyle w:val="ListParagraph"/>
        <w:numPr>
          <w:ilvl w:val="0"/>
          <w:numId w:val="1"/>
        </w:numPr>
        <w:spacing w:after="80"/>
      </w:pPr>
      <w:r>
        <w:t xml:space="preserve">두 노출 단계는 동일 챔버(원격 플라즈마 공급원 + 가스 주입기를 함께 배치) 또는 별도 프로세스 챔버의 조합으로 구현 가능하며, 처리 온도는 약 600~1200℃(대표 약 900℃) 범위.</w:t>
      </w:r>
    </w:p>
    <w:p>
      <w:pPr>
        <w:pStyle w:val="ListParagraph"/>
        <w:numPr>
          <w:ilvl w:val="0"/>
          <w:numId w:val="1"/>
        </w:numPr>
        <w:spacing w:after="80"/>
      </w:pPr>
      <w:r>
        <w:t xml:space="preserve">도 7의 실험 데이터는 H2O/O3 혼합가스에서 압력이 높을수록, 그리고 O3 분압이 약 30~70% 구간일 때 SiO2 성장속도가 피크를 이루어 단일 성분 대비 시너지적 반응성이 나타남을 보여준다.</w:t>
      </w:r>
    </w:p>
    <w:p>
      <w:pPr>
        <w:pStyle w:val="Heading1"/>
        <w:spacing w:after="160" w:before="320"/>
      </w:pPr>
      <w:r>
        <w:t xml:space="preserve">2. 기술 내용</w:t>
      </w:r>
    </w:p>
    <w:p>
      <w:pPr>
        <w:pStyle w:val="Heading2"/>
        <w:spacing w:after="160" w:before="320"/>
      </w:pPr>
      <w:r>
        <w:t xml:space="preserve">2.1 장치 구성</w:t>
      </w:r>
    </w:p>
    <w:p>
      <w:pPr>
        <w:spacing w:after="120"/>
      </w:pPr>
      <w:r>
        <w:t xml:space="preserve">제1 프로세스 시스템(100)은 RTP(급속 열 처리) 챔버(102)와 원격 플라즈마 공급원(104, 마이크로파 결합형, 약 6 kW급)에 더해 가스 주입기(192)를 하나의 처리 영역(146)에 함께 결합한 구조이다. 고압 산화와 저압 플라즈마 노출을 동일 처리 영역 내에서 순차적으로 수행할 수 있도록 설계한 점이 본 발명의 핵심 장치적 특징으로 기재되어 있다.</w:t>
      </w:r>
    </w:p>
    <w:p>
      <w:pPr>
        <w:pStyle w:val="ListParagraph"/>
        <w:numPr>
          <w:ilvl w:val="0"/>
          <w:numId w:val="1"/>
        </w:numPr>
        <w:spacing w:after="80"/>
      </w:pPr>
      <w:r>
        <w:t xml:space="preserve">가스 주입기 중심과 원격 플라즈마 라이너 조립체(156) 중심 사이의 각도(θ1)는 약 45~135°(대표 90°), 라이너 조립체와 배기 개구부(158) 사이의 각도(θ2)는 약 150~210°(대표 190°)로, 둘레 방향으로 분산 배치해 나선형 가스 유동을 유도하고 이를 통해 산화막 형성 균일도를 개선한다고 기재됨.</w:t>
      </w:r>
    </w:p>
    <w:p>
      <w:pPr>
        <w:pStyle w:val="ListParagraph"/>
        <w:numPr>
          <w:ilvl w:val="0"/>
          <w:numId w:val="1"/>
        </w:numPr>
        <w:spacing w:after="80"/>
      </w:pPr>
      <w:r>
        <w:t xml:space="preserve">배기 통로(196a, 196b)를 개구부 양측에 대칭 배치하여 배기 균일성을 확보.</w:t>
      </w:r>
    </w:p>
    <w:p>
      <w:pPr>
        <w:spacing w:after="120"/>
      </w:pPr>
      <w:r>
        <w:t xml:space="preserve">제2/제3 프로세스 시스템(100a/100b)은 제1시스템에서 원격 플라즈마원 또는 가스 주입기 중 하나만을 가진 변형으로, 두 챔버를 진공 결합하여 고압 산화·저압 플라즈마 단계를 물리적으로 분리 수행하며 기판은 대기에 노출되지 않고 이동한다. 제4 프로세스 시스템(300)은 샤워헤드(308)와 유도 코일(306)을 함께 갖춘 단일 챔버로 고압 산화·저압 플라즈마 양쪽을 모두 수행한다. 제5 프로세스 시스템(400)은 다수 기판(142)을 동시 처리하는 배치(batch)형 구조이며, 저압 단계에서 수소·산소 혼합가스를 연소시켜 원자 산소를 발생시키는 방식도 대안으로 제시된다.</w:t>
      </w:r>
    </w:p>
    <w:p>
      <w:pPr>
        <w:spacing w:after="80" w:before="200"/>
        <w:jc w:val="center"/>
      </w:pPr>
      <w:r>
        <w:drawing>
          <wp:inline distT="0" distB="0" distL="0" distR="0">
            <wp:extent cx="4206240" cy="59482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06240" cy="5948244"/>
                    </a:xfrm>
                    <a:prstGeom prst="rect">
                      <a:avLst/>
                    </a:prstGeom>
                  </pic:spPr>
                </pic:pic>
              </a:graphicData>
            </a:graphic>
          </wp:inline>
        </w:drawing>
      </w:r>
    </w:p>
    <w:p>
      <w:pPr>
        <w:spacing w:after="240"/>
        <w:jc w:val="center"/>
      </w:pPr>
      <w:r>
        <w:rPr>
          <w:b/>
          <w:bCs/>
          <w:sz w:val="20"/>
          <w:szCs w:val="20"/>
        </w:rPr>
        <w:t xml:space="preserve">[도 1a] </w:t>
      </w:r>
      <w:r>
        <w:rPr>
          <w:sz w:val="20"/>
          <w:szCs w:val="20"/>
        </w:rPr>
        <w:t xml:space="preserve">제1 프로세스 시스템(100)의 측단면도 — RTP 챔버(102)와 원격 플라즈마 공급원(104)의 결합 구조.</w:t>
      </w:r>
    </w:p>
    <w:p>
      <w:pPr>
        <w:pStyle w:val="Heading2"/>
        <w:spacing w:after="160" w:before="320"/>
      </w:pPr>
      <w:r>
        <w:t xml:space="preserve">2.2 이중 압력 산화 공정 조건</w:t>
      </w:r>
    </w:p>
    <w:p>
      <w:pPr>
        <w:spacing w:after="120"/>
      </w:pPr>
      <w:r>
        <w:t xml:space="preserve">1단계(고압 산화, 작동 604): 압력(P1)은 장치 청구항 기준 20 Torr 초과, 방법 청구항 기준 50 Torr 초과이며 실시예는 50~760 Torr 범위이다. 산화제 분압은 10 Torr 초과(바람직하게는 50 Torr 이상, 더 바람직하게는 100 Torr 이상)이다. 처리 온도는 500~1500℃(바람직 600~1200℃, 더 바람직 700~1000℃, 대표 약 900℃)이다. 산화제는 H2, O2, O3, N2O, H2O, H2O2, OH- 중 1종 이상이며, 대표 실시예는 H2O와 O3(및 선택적으로 H2O2)의 혼합이고 He/Ne/Ar/Kr/Xe/N2 중 하나를 캐리어 가스로 병행 공급한다. 이 단계에서 형성되는 산화막 두께(T1)는 약 1~3 nm이며, 성장속도(제1 성장속도)는 약 20~30 Å/√min 미만이다.</w:t>
      </w:r>
    </w:p>
    <w:p>
      <w:pPr>
        <w:spacing w:after="120"/>
      </w:pPr>
      <w:r>
        <w:t xml:space="preserve">산화제 노출을 중단(작동 606)한 뒤 선택적으로 제2 프로세스 챔버로 이동(작동 608)하며, 이동 중 압력은 제1압력에서 제2압력 사이의 중간 압력을 거친다.</w:t>
      </w:r>
    </w:p>
    <w:p>
      <w:pPr>
        <w:spacing w:after="120"/>
      </w:pPr>
      <w:r>
        <w:t xml:space="preserve">2단계(저압 플라즈마 산화, 작동 610): 압력(P2)은 장치 청구항 기준 10 Torr 미만, 방법 청구항 기준 5 Torr 미만이며, 산소 함유 플라즈마의 분압은 0.1~8 Torr(바람직 0.5~6 Torr, 더 바람직 1~3 Torr) 범위이다. 명세서는 약 1~3 Torr 구간에서 산소 라디칼 수명이 피크를 이룬다는 점을 실험적 발견으로 제시한다([0054]). 처리 온도는 1단계와 동일 범위이다. 플라즈마 소스는 원격 플라즈마 공급원(RPS), 유도 결합 플라즈마(ICP), 용량 결합 플라즈마(CCP) 중 하나이거나, 배치 시스템에서는 저압 H2/O2 연소로 대체될 수 있다. 이 단계의 성장속도(제2 성장속도)는 1단계보다 크며 대표적으로 약 20~40 Å/√min이고, 부가되는 산화막 두께(T2)는 약 2~10 nm(대표 4~10 nm)이다.</w:t>
      </w:r>
    </w:p>
    <w:p>
      <w:pPr>
        <w:spacing w:after="120"/>
      </w:pPr>
      <w:r>
        <w:t xml:space="preserve">이러한 2단계 공정의 결과, 피처 상부(단면 530, 최상부 표면에서 약 250~750 nm 지점)와 하부(단면 532, 피처 바닥에서 약 250~750 nm 지점)에서 측정한 산화막 두께의 등각성이 95% 초과(대표 96~98% 초과)로 보고된다. 피처 내벽은 원자층증착(ALD)으로 형성된 규소 계열 라이너(508, 질화규소·비정질 규소·폴리실리콘 중 하나)로 코팅되어 있으며, 이 라이너 표면이 산화되어 산화막(522)이 형성되는 구조이다.</w:t>
      </w:r>
    </w:p>
    <w:p>
      <w:pPr>
        <w:spacing w:after="80" w:before="200"/>
        <w:jc w:val="center"/>
      </w:pPr>
      <w:r>
        <w:drawing>
          <wp:inline distT="0" distB="0" distL="0" distR="0">
            <wp:extent cx="3108960" cy="43965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8960" cy="4396528"/>
                    </a:xfrm>
                    <a:prstGeom prst="rect">
                      <a:avLst/>
                    </a:prstGeom>
                  </pic:spPr>
                </pic:pic>
              </a:graphicData>
            </a:graphic>
          </wp:inline>
        </w:drawing>
      </w:r>
    </w:p>
    <w:p>
      <w:pPr>
        <w:spacing w:after="240"/>
        <w:jc w:val="center"/>
      </w:pPr>
      <w:r>
        <w:rPr>
          <w:b/>
          <w:bCs/>
          <w:sz w:val="20"/>
          <w:szCs w:val="20"/>
        </w:rPr>
        <w:t xml:space="preserve">[도 5a] </w:t>
      </w:r>
      <w:r>
        <w:rPr>
          <w:sz w:val="20"/>
          <w:szCs w:val="20"/>
        </w:rPr>
        <w:t xml:space="preserve">형성 방법 수행 전 디바이스 스택(500) — 산화규소층(502)/질화규소층(504) 교번 스택과 형성된 피처(520)의 개략 단면도.</w:t>
      </w:r>
    </w:p>
    <w:p>
      <w:pPr>
        <w:spacing w:after="80" w:before="200"/>
        <w:jc w:val="center"/>
      </w:pPr>
      <w:r>
        <w:drawing>
          <wp:inline distT="0" distB="0" distL="0" distR="0">
            <wp:extent cx="3108960" cy="43965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4396528"/>
                    </a:xfrm>
                    <a:prstGeom prst="rect">
                      <a:avLst/>
                    </a:prstGeom>
                  </pic:spPr>
                </pic:pic>
              </a:graphicData>
            </a:graphic>
          </wp:inline>
        </w:drawing>
      </w:r>
    </w:p>
    <w:p>
      <w:pPr>
        <w:spacing w:after="240"/>
        <w:jc w:val="center"/>
      </w:pPr>
      <w:r>
        <w:rPr>
          <w:b/>
          <w:bCs/>
          <w:sz w:val="20"/>
          <w:szCs w:val="20"/>
        </w:rPr>
        <w:t xml:space="preserve">[도 5b] </w:t>
      </w:r>
      <w:r>
        <w:rPr>
          <w:sz w:val="20"/>
          <w:szCs w:val="20"/>
        </w:rPr>
        <w:t xml:space="preserve">고압 산화(작동 604) 후 — 규소 라이너(508) 표면에 제1두께(T1)의 산화막(522)이 형성된 상태.</w:t>
      </w:r>
    </w:p>
    <w:p>
      <w:pPr>
        <w:spacing w:after="80" w:before="200"/>
        <w:jc w:val="center"/>
      </w:pPr>
      <w:r>
        <w:drawing>
          <wp:inline distT="0" distB="0" distL="0" distR="0">
            <wp:extent cx="3108960" cy="43965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8960" cy="4396528"/>
                    </a:xfrm>
                    <a:prstGeom prst="rect">
                      <a:avLst/>
                    </a:prstGeom>
                  </pic:spPr>
                </pic:pic>
              </a:graphicData>
            </a:graphic>
          </wp:inline>
        </w:drawing>
      </w:r>
    </w:p>
    <w:p>
      <w:pPr>
        <w:spacing w:after="240"/>
        <w:jc w:val="center"/>
      </w:pPr>
      <w:r>
        <w:rPr>
          <w:b/>
          <w:bCs/>
          <w:sz w:val="20"/>
          <w:szCs w:val="20"/>
        </w:rPr>
        <w:t xml:space="preserve">[도 5c] </w:t>
      </w:r>
      <w:r>
        <w:rPr>
          <w:sz w:val="20"/>
          <w:szCs w:val="20"/>
        </w:rPr>
        <w:t xml:space="preserve">저압 플라즈마 노출(작동 610) 후 — 산화막이 제2두께(T2)로 추가 성장한 상태. 단면(530, 532)은 등각성 측정 위치를 나타냄.</w:t>
      </w:r>
    </w:p>
    <w:p>
      <w:pPr>
        <w:spacing w:after="80" w:before="200"/>
        <w:jc w:val="center"/>
      </w:pPr>
      <w:r>
        <w:drawing>
          <wp:inline distT="0" distB="0" distL="0" distR="0">
            <wp:extent cx="3657600" cy="51723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5172386"/>
                    </a:xfrm>
                    <a:prstGeom prst="rect">
                      <a:avLst/>
                    </a:prstGeom>
                  </pic:spPr>
                </pic:pic>
              </a:graphicData>
            </a:graphic>
          </wp:inline>
        </w:drawing>
      </w:r>
    </w:p>
    <w:p>
      <w:pPr>
        <w:spacing w:after="240"/>
        <w:jc w:val="center"/>
      </w:pPr>
      <w:r>
        <w:rPr>
          <w:b/>
          <w:bCs/>
          <w:sz w:val="20"/>
          <w:szCs w:val="20"/>
        </w:rPr>
        <w:t xml:space="preserve">[도 6] </w:t>
      </w:r>
      <w:r>
        <w:rPr>
          <w:sz w:val="20"/>
          <w:szCs w:val="20"/>
        </w:rPr>
        <w:t xml:space="preserve">이중 압력 산화 방법(600)의 흐름도 — 기판 배치(602) → 제1압력 산화제 노출(604) → 노출 중단(606) → (선택적) 챔버 이동(608) → 제2압력 산소 플라즈마 노출(610)의 5단계.</w:t>
      </w:r>
    </w:p>
    <w:p>
      <w:pPr>
        <w:pStyle w:val="Heading2"/>
        <w:spacing w:after="160" w:before="320"/>
      </w:pPr>
      <w:r>
        <w:t xml:space="preserve">2.3 독립항 핵심 구성요소 재구성</w:t>
      </w:r>
    </w:p>
    <w:p>
      <w:pPr>
        <w:spacing w:after="120"/>
      </w:pPr>
      <w:r>
        <w:t xml:space="preserve">아래는 독립항의 구성을 요약하여 기술적으로 재구성한 것이며, 청구항 원문을 그대로 인용한 것이 아니다.</w:t>
      </w:r>
    </w:p>
    <w:p>
      <w:pPr>
        <w:pStyle w:val="ListParagraph"/>
        <w:numPr>
          <w:ilvl w:val="0"/>
          <w:numId w:val="1"/>
        </w:numPr>
        <w:spacing w:after="80"/>
      </w:pPr>
      <w:r>
        <w:t xml:space="preserve">청구항 1 (장치): 챔버 몸체·프로세스 가스 공급원·기판 지지부를 포함하는 프로세스 시스템과, (a) 기판을 20 Torr 초과의 제1압력에서 산화제에 노출시키고, (b) 압력을 10 Torr 미만의 제2압력으로 낮춘 뒤, (c) 그 압력을 유지하는 동안 산소 함유 플라즈마에 노출시키도록 구성된 제어기를 포함하는 기판 처리 장치.</w:t>
      </w:r>
    </w:p>
    <w:p>
      <w:pPr>
        <w:pStyle w:val="ListParagraph"/>
        <w:numPr>
          <w:ilvl w:val="0"/>
          <w:numId w:val="1"/>
        </w:numPr>
        <w:spacing w:after="80"/>
      </w:pPr>
      <w:r>
        <w:t xml:space="preserve">청구항 11 (방법): 규소벽 또는 질화물벽 표면을 갖는 다수의 피처가 형성된 기판을, (a) 50 Torr 초과의 제1압력에서 산화제에 노출시킨 후, (b) 5 Torr 미만의 제2압력으로 감압하고, (c) 그 압력에서 산소 함유 플라즈마에 노출시켜 산화막 두께를 증가시키는, 피처 내 산화막 형성 방법.</w:t>
      </w:r>
    </w:p>
    <w:p>
      <w:pPr>
        <w:pStyle w:val="ListParagraph"/>
        <w:numPr>
          <w:ilvl w:val="0"/>
          <w:numId w:val="1"/>
        </w:numPr>
        <w:spacing w:after="80"/>
      </w:pPr>
      <w:r>
        <w:t xml:space="preserve">청구항 7 (매체): 위와 동일한 순서(20 Torr 초과 산화제 노출 → 10 Torr 미만 감압 → 산소 함유 플라즈마 노출)를 컴퓨터 시스템이 수행하도록 하는 명령어를 저장한 비일시적 컴퓨터 판독가능 매체.</w:t>
      </w:r>
    </w:p>
    <w:p>
      <w:pPr>
        <w:pStyle w:val="ListParagraph"/>
        <w:numPr>
          <w:ilvl w:val="0"/>
          <w:numId w:val="1"/>
        </w:numPr>
        <w:spacing w:after="80"/>
      </w:pPr>
      <w:r>
        <w:t xml:space="preserve">주요 종속항: 산화제는 오존·아산화질소·물·수소·과산화수소 중 하나 이상의 혼합(청구항 9, 18), 플라즈마는 라디칼화된 산소 원자 및 수소·산소 분자를 포함(청구항 9, 19, 20), 처리 온도 600~1200℃(청구항 10, 16), 피처 깊이 5 ㎛ 초과·종횡비 70:1 초과(청구항 15), 산화제 노출과 플라즈마 노출을 서로 다른 2개 챔버에서 수행(청구항 13), 챔버 몸체 주위 유도 코일 배치(청구항 6).</w:t>
      </w:r>
    </w:p>
    <w:p>
      <w:pPr>
        <w:pStyle w:val="Heading1"/>
        <w:spacing w:after="160" w:before="320"/>
      </w:pPr>
      <w:r>
        <w:t xml:space="preserve">3. 실험 데이터</w:t>
      </w:r>
    </w:p>
    <w:p>
      <w:pPr>
        <w:spacing w:after="120"/>
      </w:pPr>
      <w:r>
        <w:t xml:space="preserve">도 7은 다양한 압력 및 H2O/O3 가스 혼합비에서의 SiO2 성장속도를 나타낸 그래프이다. X축은 혼합가스 중 O3의 분압 비율(%, 0%는 순수 H2O, 100%는 순수 O3), Y축은 SiO2 성장량(Å, 약 10~30 범위)이다. 그래프에는 제1압력(P1, 약 10~12 Torr) · 제2압력(P2, 약 20 Torr) · 제3압력(P3, 약 60 Torr)의 3개 데이터 세트가 표시되어 있다.</w:t>
      </w:r>
    </w:p>
    <w:p>
      <w:pPr>
        <w:spacing w:after="120"/>
      </w:pPr>
      <w:r>
        <w:t xml:space="preserve">해석: 세 압력 조건 모두 순수 H2O(0%) 또는 순수 O3(100%) 단독보다, 혼합 구간(대략 O3 30~50% 부근)에서 성장량이 더 큰 피크 형태를 보인다. 이는 명세서 [0045]에서 언급한 바와 같이, H2O와 O3의 반응이 10 Torr 초과의 고압 범위에서 비반응 성분들의 혼합물로부터 예측되는 것보다 더 반응성인 종을 형성함을 시사한다. 또한 압력이 높을수록(P3=약 60 Torr) 전반적인 성장량이 크고(피크치 약 28~30 Å), 최저 압력(P1=약 10~12 Torr)에서 가장 낮은 성장량(피크치 약 20 Å 내외)을 보여, 압력 증가가 성장속도를 높인다는 본문 서술과 일치한다.</w:t>
      </w:r>
    </w:p>
    <w:p>
      <w:pPr>
        <w:spacing w:after="120"/>
      </w:pPr>
      <w:r>
        <w:rPr>
          <w:i/>
          <w:iCs/>
        </w:rPr>
        <w:t xml:space="preserve">다만 그래프 판독에 의한 근사치만 확인 가능하며, 각 데이터 포인트의 정확한 수치 표나 반복 실험(재현성) 데이터는 본 문서 내에 제공되지 않는다 — 문서상 확인 불가.</w:t>
      </w:r>
    </w:p>
    <w:p>
      <w:pPr>
        <w:spacing w:after="80" w:before="200"/>
        <w:jc w:val="center"/>
      </w:pPr>
      <w:r>
        <w:drawing>
          <wp:inline distT="0" distB="0" distL="0" distR="0">
            <wp:extent cx="3291840" cy="4655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1840" cy="4655147"/>
                    </a:xfrm>
                    <a:prstGeom prst="rect">
                      <a:avLst/>
                    </a:prstGeom>
                  </pic:spPr>
                </pic:pic>
              </a:graphicData>
            </a:graphic>
          </wp:inline>
        </w:drawing>
      </w:r>
    </w:p>
    <w:p>
      <w:pPr>
        <w:spacing w:after="240"/>
        <w:jc w:val="center"/>
      </w:pPr>
      <w:r>
        <w:rPr>
          <w:b/>
          <w:bCs/>
          <w:sz w:val="20"/>
          <w:szCs w:val="20"/>
        </w:rPr>
        <w:t xml:space="preserve">[도 7] </w:t>
      </w:r>
      <w:r>
        <w:rPr>
          <w:sz w:val="20"/>
          <w:szCs w:val="20"/>
        </w:rPr>
        <w:t xml:space="preserve">다양한 압력(P1~P3) 및 H2O/O3 가스 혼합비에 따른 SiO2 성장속도 그래프.</w:t>
      </w:r>
    </w:p>
    <w:p>
      <w:pPr>
        <w:pStyle w:val="Heading1"/>
        <w:spacing w:after="160" w:before="320"/>
      </w:pPr>
      <w:r>
        <w:t xml:space="preserve">4. 기존 기술 대비 차별점</w:t>
      </w:r>
    </w:p>
    <w:p>
      <w:pPr>
        <w:pStyle w:val="ListParagraph"/>
        <w:numPr>
          <w:ilvl w:val="0"/>
          <w:numId w:val="1"/>
        </w:numPr>
        <w:spacing w:after="80"/>
      </w:pPr>
      <w:r>
        <w:t xml:space="preserve">배경기술([0002]~[0003])은 단일 조건(단일 압력·단일 산화제)의 열산화 또는 플라즈마 산화만으로는 70:1 이상의 HAR 피처 하부까지 반응물 플럭스가 충분히 도달하지 못해 등각성이 저하된다는 문제를 지적한다. 본 발명은 '고압 노출로 저항이 적은 베이스층을 먼저 형성하고, 이어서 저압 플라즈마로 침투성이 높은 라디칼을 성장시키는' 순서를 명시적으로 결합한 점을 핵심 차별점으로 제시한다.</w:t>
      </w:r>
    </w:p>
    <w:p>
      <w:pPr>
        <w:pStyle w:val="ListParagraph"/>
        <w:numPr>
          <w:ilvl w:val="0"/>
          <w:numId w:val="1"/>
        </w:numPr>
        <w:spacing w:after="80"/>
      </w:pPr>
      <w:r>
        <w:t xml:space="preserve">동일 처리 영역(챔버) 내에 원격 플라즈마 공급원과 가스 주입기를 함께 배치하여 두 단계를 하나의 챔버에서 순차 수행할 수 있게 한 구조([0012], [0020]~[0025])도 종래의 별도 챔버 방식 대비 구조적 차별점으로 제시된다.</w:t>
      </w:r>
    </w:p>
    <w:p>
      <w:pPr>
        <w:pStyle w:val="ListParagraph"/>
        <w:numPr>
          <w:ilvl w:val="0"/>
          <w:numId w:val="1"/>
        </w:numPr>
        <w:spacing w:after="80"/>
      </w:pPr>
      <w:r>
        <w:t xml:space="preserve">다만 등각성·처리량·결함밀도 등을 기존 단일 산화 공정과 직접 비교한 정량 데이터는 본 문서 내에 제시되어 있지 않다 — 과장 없이 문서상 확인 불가로 명시한다.</w:t>
      </w:r>
    </w:p>
    <w:p>
      <w:pPr>
        <w:pStyle w:val="ListParagraph"/>
        <w:numPr>
          <w:ilvl w:val="0"/>
          <w:numId w:val="1"/>
        </w:numPr>
        <w:spacing w:after="80"/>
      </w:pPr>
      <w:r>
        <w:t xml:space="preserve">저압 구간(약 1~3 Torr)에서 산소 라디칼 수명이 피크를 이룬다는 발견([0054])은 구체적 수치가 제시된 유일한 정량적 차별 포인트이나, 타사 선행 특허·논문 대비 신규성 여부는 별도의 선행기술조사가 필요하며 본 문서만으로는 확인 불가.</w:t>
      </w:r>
    </w:p>
    <w:p>
      <w:pPr>
        <w:pStyle w:val="Heading1"/>
        <w:spacing w:after="160" w:before="320"/>
      </w:pPr>
      <w:r>
        <w:t xml:space="preserve">5. 활용 가능성 및 리스크</w:t>
      </w:r>
    </w:p>
    <w:p>
      <w:pPr>
        <w:pStyle w:val="ListParagraph"/>
        <w:numPr>
          <w:ilvl w:val="0"/>
          <w:numId w:val="1"/>
        </w:numPr>
        <w:spacing w:after="80"/>
      </w:pPr>
      <w:r>
        <w:t xml:space="preserve">활용: 3D NAND 채널홀 산화막, 게이트 유전막 등 고종횡비 구조의 등각 산화 공정에 직접 적용 가능한 공정 레시피 및 장치 구성으로, 출원인(Applied Materials)의 기존 RTP·플라즈마 장비 포트폴리오와 결합 시 실제 양산 적용 가능성이 있는 것으로 판단됨.</w:t>
      </w:r>
    </w:p>
    <w:p>
      <w:pPr>
        <w:pStyle w:val="ListParagraph"/>
        <w:numPr>
          <w:ilvl w:val="0"/>
          <w:numId w:val="1"/>
        </w:numPr>
        <w:spacing w:after="80"/>
      </w:pPr>
      <w:r>
        <w:t xml:space="preserve">비용-효과: 원격 플라즈마 공급원과 가스 주입기를 함께 갖춘 단일 챔버(제1·제4 프로세스 시스템)로 구현할 경우 챔버 교체 없이 처리량 향상과 비용 절감이 가능하다고 명시되어 있으나([0012]), 동일 챔버 내 고압 산화와 플라즈마 기능을 겸용하는 구조는 일부 챔버 아키텍처에서 구현이 어렵다고도 언급되어([0012]) 실제 설계·검증 난도는 낮지 않을 것으로 판단됨.</w:t>
      </w:r>
    </w:p>
    <w:p>
      <w:pPr>
        <w:pStyle w:val="ListParagraph"/>
        <w:numPr>
          <w:ilvl w:val="0"/>
          <w:numId w:val="1"/>
        </w:numPr>
        <w:spacing w:after="80"/>
      </w:pPr>
      <w:r>
        <w:t xml:space="preserve">공정 온도가 600~1200℃(대표 약 900℃)로 높아, 서멀 버짓에 민감한 후공정(예: 금속 게이트 형성 이후 공정)에는 적용이 제한될 수 있음.</w:t>
      </w:r>
    </w:p>
    <w:p>
      <w:pPr>
        <w:pStyle w:val="ListParagraph"/>
        <w:numPr>
          <w:ilvl w:val="0"/>
          <w:numId w:val="1"/>
        </w:numPr>
        <w:spacing w:after="80"/>
      </w:pPr>
      <w:r>
        <w:t xml:space="preserve">리스크: 문서에 제시된 수치(두께, 성장속도, 등각성 등)는 모두 '약' 범위로 기재된 예시치이며, 양산 조건에서의 재현성·공정마진에 대한 반복 실험 데이터는 확인 불가. 실제 적용 전 자체 검증이 필요함.</w:t>
      </w:r>
    </w:p>
    <w:p>
      <w:pPr>
        <w:pStyle w:val="Heading1"/>
        <w:spacing w:after="160" w:before="320"/>
      </w:pPr>
      <w:r>
        <w:t xml:space="preserve">6. 추가 확인이 필요한 사항</w:t>
      </w:r>
    </w:p>
    <w:p>
      <w:pPr>
        <w:pStyle w:val="ListParagraph"/>
        <w:numPr>
          <w:ilvl w:val="0"/>
          <w:numId w:val="1"/>
        </w:numPr>
        <w:spacing w:after="80"/>
      </w:pPr>
      <w:r>
        <w:t xml:space="preserve">본 KR 공개공보에 대응하는 미국·유럽 등 해외 패밀리 출원의 등록 여부 및 최종 확정 청구범위(권리화 여부) — 문서상 확인 불가.</w:t>
      </w:r>
    </w:p>
    <w:p>
      <w:pPr>
        <w:pStyle w:val="ListParagraph"/>
        <w:numPr>
          <w:ilvl w:val="0"/>
          <w:numId w:val="1"/>
        </w:numPr>
        <w:spacing w:after="80"/>
      </w:pPr>
      <w:r>
        <w:t xml:space="preserve">도 7 그래프의 정확한 원자료(수치 데이터 표) 및 반복 실험을 통한 재현성 데이터가 본 문서에 제공되지 않음.</w:t>
      </w:r>
    </w:p>
    <w:p>
      <w:pPr>
        <w:pStyle w:val="ListParagraph"/>
        <w:numPr>
          <w:ilvl w:val="0"/>
          <w:numId w:val="1"/>
        </w:numPr>
        <w:spacing w:after="80"/>
      </w:pPr>
      <w:r>
        <w:t xml:space="preserve">실제 웨이퍼 단면의 SEM/TEM 실측 이미지가 부재하며 도 5a~5c는 개략 모식도에 불과함 — 등각성 95% 초과 수치의 실측 근거 확인 필요.</w:t>
      </w:r>
    </w:p>
    <w:p>
      <w:pPr>
        <w:pStyle w:val="ListParagraph"/>
        <w:numPr>
          <w:ilvl w:val="0"/>
          <w:numId w:val="1"/>
        </w:numPr>
        <w:spacing w:after="80"/>
      </w:pPr>
      <w:r>
        <w:t xml:space="preserve">저압 플라즈마 단계의 성장속도가 고압 산화 단계보다 큰 이유(라디칼 반응성 차이)에 대한 메커니즘적 설명(예: XPS, 라디칼 밀도 측정 등)이 원출원(PCT/US2022/051135) 명세서 전체에 추가로 제시되어 있는지 확인 필요.</w:t>
      </w:r>
    </w:p>
    <w:p>
      <w:pPr>
        <w:pStyle w:val="Heading1"/>
        <w:spacing w:after="160" w:before="320"/>
      </w:pPr>
      <w:r>
        <w:t xml:space="preserve">7. 도면 정리</w:t>
      </w:r>
    </w:p>
    <w:p>
      <w:pPr>
        <w:spacing w:after="80" w:before="200"/>
        <w:jc w:val="center"/>
      </w:pPr>
      <w:r>
        <w:drawing>
          <wp:inline distT="0" distB="0" distL="0" distR="0">
            <wp:extent cx="4023360" cy="568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23360" cy="5689625"/>
                    </a:xfrm>
                    <a:prstGeom prst="rect">
                      <a:avLst/>
                    </a:prstGeom>
                  </pic:spPr>
                </pic:pic>
              </a:graphicData>
            </a:graphic>
          </wp:inline>
        </w:drawing>
      </w:r>
    </w:p>
    <w:p>
      <w:pPr>
        <w:spacing w:after="240"/>
        <w:jc w:val="center"/>
      </w:pPr>
      <w:r>
        <w:rPr>
          <w:b/>
          <w:bCs/>
          <w:sz w:val="20"/>
          <w:szCs w:val="20"/>
        </w:rPr>
        <w:t xml:space="preserve">[도 1a] </w:t>
      </w:r>
      <w:r>
        <w:rPr>
          <w:sz w:val="20"/>
          <w:szCs w:val="20"/>
        </w:rPr>
        <w:t xml:space="preserve">제1 프로세스 시스템(100)의 측단면도 — RTP 챔버(102)와 원격 플라즈마 공급원(104)의 결합 구조.</w:t>
      </w:r>
    </w:p>
    <w:p>
      <w:pPr>
        <w:spacing w:after="80" w:before="200"/>
        <w:jc w:val="center"/>
      </w:pPr>
      <w:r>
        <w:drawing>
          <wp:inline distT="0" distB="0" distL="0" distR="0">
            <wp:extent cx="3291840" cy="4655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1840" cy="4655147"/>
                    </a:xfrm>
                    <a:prstGeom prst="rect">
                      <a:avLst/>
                    </a:prstGeom>
                  </pic:spPr>
                </pic:pic>
              </a:graphicData>
            </a:graphic>
          </wp:inline>
        </w:drawing>
      </w:r>
    </w:p>
    <w:p>
      <w:pPr>
        <w:spacing w:after="240"/>
        <w:jc w:val="center"/>
      </w:pPr>
      <w:r>
        <w:rPr>
          <w:b/>
          <w:bCs/>
          <w:sz w:val="20"/>
          <w:szCs w:val="20"/>
        </w:rPr>
        <w:t xml:space="preserve">[도 1b] </w:t>
      </w:r>
      <w:r>
        <w:rPr>
          <w:sz w:val="20"/>
          <w:szCs w:val="20"/>
        </w:rPr>
        <w:t xml:space="preserve">도 1a의 단면 평면도 — 원격 플라즈마 라이너 조립체(156)와 가스 주입기(192)의 둘레방향 배치각도(θ1, θ2) 및 배기 통로(196a, 196b) 배치.</w:t>
      </w:r>
    </w:p>
    <w:p>
      <w:pPr>
        <w:spacing w:after="80" w:before="200"/>
        <w:jc w:val="center"/>
      </w:pPr>
      <w:r>
        <w:drawing>
          <wp:inline distT="0" distB="0" distL="0" distR="0">
            <wp:extent cx="3291840" cy="4655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1840" cy="4655147"/>
                    </a:xfrm>
                    <a:prstGeom prst="rect">
                      <a:avLst/>
                    </a:prstGeom>
                  </pic:spPr>
                </pic:pic>
              </a:graphicData>
            </a:graphic>
          </wp:inline>
        </w:drawing>
      </w:r>
    </w:p>
    <w:p>
      <w:pPr>
        <w:spacing w:after="240"/>
        <w:jc w:val="center"/>
      </w:pPr>
      <w:r>
        <w:rPr>
          <w:b/>
          <w:bCs/>
          <w:sz w:val="20"/>
          <w:szCs w:val="20"/>
        </w:rPr>
        <w:t xml:space="preserve">[도 2a] </w:t>
      </w:r>
      <w:r>
        <w:rPr>
          <w:sz w:val="20"/>
          <w:szCs w:val="20"/>
        </w:rPr>
        <w:t xml:space="preserve">제2 프로세스 시스템(100a)의 단면 평면도 — 원격 플라즈마 공급원 없이 통로(157)만 구비한 변형.</w:t>
      </w:r>
    </w:p>
    <w:p>
      <w:pPr>
        <w:spacing w:after="80" w:before="200"/>
        <w:jc w:val="center"/>
      </w:pPr>
      <w:r>
        <w:drawing>
          <wp:inline distT="0" distB="0" distL="0" distR="0">
            <wp:extent cx="3291840" cy="4655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1840" cy="4655147"/>
                    </a:xfrm>
                    <a:prstGeom prst="rect">
                      <a:avLst/>
                    </a:prstGeom>
                  </pic:spPr>
                </pic:pic>
              </a:graphicData>
            </a:graphic>
          </wp:inline>
        </w:drawing>
      </w:r>
    </w:p>
    <w:p>
      <w:pPr>
        <w:spacing w:after="240"/>
        <w:jc w:val="center"/>
      </w:pPr>
      <w:r>
        <w:rPr>
          <w:b/>
          <w:bCs/>
          <w:sz w:val="20"/>
          <w:szCs w:val="20"/>
        </w:rPr>
        <w:t xml:space="preserve">[도 2b] </w:t>
      </w:r>
      <w:r>
        <w:rPr>
          <w:sz w:val="20"/>
          <w:szCs w:val="20"/>
        </w:rPr>
        <w:t xml:space="preserve">제3 프로세스 시스템(100b)의 단면 평면도 — 가스 주입기 없이 통로(191)만 구비한 변형.</w:t>
      </w:r>
    </w:p>
    <w:p>
      <w:pPr>
        <w:spacing w:after="80" w:before="200"/>
        <w:jc w:val="center"/>
      </w:pPr>
      <w:r>
        <w:drawing>
          <wp:inline distT="0" distB="0" distL="0" distR="0">
            <wp:extent cx="3657600" cy="51723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5172386"/>
                    </a:xfrm>
                    <a:prstGeom prst="rect">
                      <a:avLst/>
                    </a:prstGeom>
                  </pic:spPr>
                </pic:pic>
              </a:graphicData>
            </a:graphic>
          </wp:inline>
        </w:drawing>
      </w:r>
    </w:p>
    <w:p>
      <w:pPr>
        <w:spacing w:after="240"/>
        <w:jc w:val="center"/>
      </w:pPr>
      <w:r>
        <w:rPr>
          <w:b/>
          <w:bCs/>
          <w:sz w:val="20"/>
          <w:szCs w:val="20"/>
        </w:rPr>
        <w:t xml:space="preserve">[도 3] </w:t>
      </w:r>
      <w:r>
        <w:rPr>
          <w:sz w:val="20"/>
          <w:szCs w:val="20"/>
        </w:rPr>
        <w:t xml:space="preserve">제4 프로세스 시스템(300)의 측단면도 — 샤워헤드(308)와 유도 코일(306)을 갖는 단일 챔버형 구조(ICP형).</w:t>
      </w:r>
    </w:p>
    <w:p>
      <w:pPr>
        <w:spacing w:after="80" w:before="200"/>
        <w:jc w:val="center"/>
      </w:pPr>
      <w:r>
        <w:drawing>
          <wp:inline distT="0" distB="0" distL="0" distR="0">
            <wp:extent cx="3291840" cy="4655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1840" cy="4655147"/>
                    </a:xfrm>
                    <a:prstGeom prst="rect">
                      <a:avLst/>
                    </a:prstGeom>
                  </pic:spPr>
                </pic:pic>
              </a:graphicData>
            </a:graphic>
          </wp:inline>
        </w:drawing>
      </w:r>
    </w:p>
    <w:p>
      <w:pPr>
        <w:spacing w:after="240"/>
        <w:jc w:val="center"/>
      </w:pPr>
      <w:r>
        <w:rPr>
          <w:b/>
          <w:bCs/>
          <w:sz w:val="20"/>
          <w:szCs w:val="20"/>
        </w:rPr>
        <w:t xml:space="preserve">[도 4] </w:t>
      </w:r>
      <w:r>
        <w:rPr>
          <w:sz w:val="20"/>
          <w:szCs w:val="20"/>
        </w:rPr>
        <w:t xml:space="preserve">제5 프로세스 시스템(400)의 측단면도 — 배치(batch)형 가스분배타워(404)와 다수의 기판 지지 선반(412).</w:t>
      </w:r>
    </w:p>
    <w:p>
      <w:pPr>
        <w:spacing w:after="80" w:before="200"/>
        <w:jc w:val="center"/>
      </w:pPr>
      <w:r>
        <w:drawing>
          <wp:inline distT="0" distB="0" distL="0" distR="0">
            <wp:extent cx="2743200" cy="38792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879289"/>
                    </a:xfrm>
                    <a:prstGeom prst="rect">
                      <a:avLst/>
                    </a:prstGeom>
                  </pic:spPr>
                </pic:pic>
              </a:graphicData>
            </a:graphic>
          </wp:inline>
        </w:drawing>
      </w:r>
    </w:p>
    <w:p>
      <w:pPr>
        <w:spacing w:after="240"/>
        <w:jc w:val="center"/>
      </w:pPr>
      <w:r>
        <w:rPr>
          <w:b/>
          <w:bCs/>
          <w:sz w:val="20"/>
          <w:szCs w:val="20"/>
        </w:rPr>
        <w:t xml:space="preserve">[도 5a] </w:t>
      </w:r>
      <w:r>
        <w:rPr>
          <w:sz w:val="20"/>
          <w:szCs w:val="20"/>
        </w:rPr>
        <w:t xml:space="preserve">형성 방법 수행 전 디바이스 스택(500) 개략 단면도 — 산화규소층(502)/질화규소층(504) 교번 스택과 피처(520).</w:t>
      </w:r>
    </w:p>
    <w:p>
      <w:pPr>
        <w:spacing w:after="80" w:before="200"/>
        <w:jc w:val="center"/>
      </w:pPr>
      <w:r>
        <w:drawing>
          <wp:inline distT="0" distB="0" distL="0" distR="0">
            <wp:extent cx="2743200" cy="38792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3879289"/>
                    </a:xfrm>
                    <a:prstGeom prst="rect">
                      <a:avLst/>
                    </a:prstGeom>
                  </pic:spPr>
                </pic:pic>
              </a:graphicData>
            </a:graphic>
          </wp:inline>
        </w:drawing>
      </w:r>
    </w:p>
    <w:p>
      <w:pPr>
        <w:spacing w:after="240"/>
        <w:jc w:val="center"/>
      </w:pPr>
      <w:r>
        <w:rPr>
          <w:b/>
          <w:bCs/>
          <w:sz w:val="20"/>
          <w:szCs w:val="20"/>
        </w:rPr>
        <w:t xml:space="preserve">[도 5b] </w:t>
      </w:r>
      <w:r>
        <w:rPr>
          <w:sz w:val="20"/>
          <w:szCs w:val="20"/>
        </w:rPr>
        <w:t xml:space="preserve">고압 산화(작동 604) 후 상태 — 라이너(508) 표면에 제1두께(T1)의 산화막(522) 형성.</w:t>
      </w:r>
    </w:p>
    <w:p>
      <w:pPr>
        <w:spacing w:after="80" w:before="200"/>
        <w:jc w:val="center"/>
      </w:pPr>
      <w:r>
        <w:drawing>
          <wp:inline distT="0" distB="0" distL="0" distR="0">
            <wp:extent cx="2743200" cy="38792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3879289"/>
                    </a:xfrm>
                    <a:prstGeom prst="rect">
                      <a:avLst/>
                    </a:prstGeom>
                  </pic:spPr>
                </pic:pic>
              </a:graphicData>
            </a:graphic>
          </wp:inline>
        </w:drawing>
      </w:r>
    </w:p>
    <w:p>
      <w:pPr>
        <w:spacing w:after="240"/>
        <w:jc w:val="center"/>
      </w:pPr>
      <w:r>
        <w:rPr>
          <w:b/>
          <w:bCs/>
          <w:sz w:val="20"/>
          <w:szCs w:val="20"/>
        </w:rPr>
        <w:t xml:space="preserve">[도 5c] </w:t>
      </w:r>
      <w:r>
        <w:rPr>
          <w:sz w:val="20"/>
          <w:szCs w:val="20"/>
        </w:rPr>
        <w:t xml:space="preserve">저압 플라즈마 노출(작동 610) 후 상태 — 산화막이 제2두께(T2)로 성장, 등각성 측정 단면(530, 532) 표시.</w:t>
      </w:r>
    </w:p>
    <w:p>
      <w:pPr>
        <w:spacing w:after="80" w:before="200"/>
        <w:jc w:val="center"/>
      </w:pPr>
      <w:r>
        <w:drawing>
          <wp:inline distT="0" distB="0" distL="0" distR="0">
            <wp:extent cx="3474720" cy="49137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74720" cy="4913767"/>
                    </a:xfrm>
                    <a:prstGeom prst="rect">
                      <a:avLst/>
                    </a:prstGeom>
                  </pic:spPr>
                </pic:pic>
              </a:graphicData>
            </a:graphic>
          </wp:inline>
        </w:drawing>
      </w:r>
    </w:p>
    <w:p>
      <w:pPr>
        <w:spacing w:after="240"/>
        <w:jc w:val="center"/>
      </w:pPr>
      <w:r>
        <w:rPr>
          <w:b/>
          <w:bCs/>
          <w:sz w:val="20"/>
          <w:szCs w:val="20"/>
        </w:rPr>
        <w:t xml:space="preserve">[도 6] </w:t>
      </w:r>
      <w:r>
        <w:rPr>
          <w:sz w:val="20"/>
          <w:szCs w:val="20"/>
        </w:rPr>
        <w:t xml:space="preserve">이중 압력 산화 방법(600)의 흐름도 — 5단계(602→604→606→608→610).</w:t>
      </w:r>
    </w:p>
    <w:p>
      <w:pPr>
        <w:spacing w:after="80" w:before="200"/>
        <w:jc w:val="center"/>
      </w:pPr>
      <w:r>
        <w:drawing>
          <wp:inline distT="0" distB="0" distL="0" distR="0">
            <wp:extent cx="3291840" cy="4655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1840" cy="4655147"/>
                    </a:xfrm>
                    <a:prstGeom prst="rect">
                      <a:avLst/>
                    </a:prstGeom>
                  </pic:spPr>
                </pic:pic>
              </a:graphicData>
            </a:graphic>
          </wp:inline>
        </w:drawing>
      </w:r>
    </w:p>
    <w:p>
      <w:pPr>
        <w:spacing w:after="240"/>
        <w:jc w:val="center"/>
      </w:pPr>
      <w:r>
        <w:rPr>
          <w:b/>
          <w:bCs/>
          <w:sz w:val="20"/>
          <w:szCs w:val="20"/>
        </w:rPr>
        <w:t xml:space="preserve">[도 7] </w:t>
      </w:r>
      <w:r>
        <w:rPr>
          <w:sz w:val="20"/>
          <w:szCs w:val="20"/>
        </w:rPr>
        <w:t xml:space="preserve">다양한 압력(P1~P3) 및 H2O/O3 가스 혼합비에 따른 SiO2 성장속도 그래프.</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55ea5dab64120da393f656031542158b543ebe.png"/><Relationship Id="rId8" Type="http://schemas.openxmlformats.org/officeDocument/2006/relationships/image" Target="media/a1885ed0e12251c260db8d256eedd0b3c4226587.png"/><Relationship Id="rId9" Type="http://schemas.openxmlformats.org/officeDocument/2006/relationships/image" Target="media/b000973e2c9718b53a475d901927277ec1b28acd.png"/><Relationship Id="rId10" Type="http://schemas.openxmlformats.org/officeDocument/2006/relationships/image" Target="media/ba2775de0ac33041a3ea9e7754fb3e33f898b28b.png"/><Relationship Id="rId11" Type="http://schemas.openxmlformats.org/officeDocument/2006/relationships/image" Target="media/104d3abf1cfc133383acdccef0afe40752947952.png"/><Relationship Id="rId12" Type="http://schemas.openxmlformats.org/officeDocument/2006/relationships/image" Target="media/1a4fc239f351cb69d84d28e78579f79ffefd79b4.png"/><Relationship Id="rId13" Type="http://schemas.openxmlformats.org/officeDocument/2006/relationships/image" Target="media/c7f1148d7b8ccb28561fff29b3103104eedc3335.png"/><Relationship Id="rId14" Type="http://schemas.openxmlformats.org/officeDocument/2006/relationships/image" Target="media/d43399baddcdf952d8461b1cc303021cbb6b4fab.png"/><Relationship Id="rId15" Type="http://schemas.openxmlformats.org/officeDocument/2006/relationships/image" Target="media/442bdc6d8a76ba5e4c48b10ea407195a14b9b733.png"/><Relationship Id="rId16" Type="http://schemas.openxmlformats.org/officeDocument/2006/relationships/image" Target="media/b1d61f63776d9ec20613207491c0bf6db1b712c1.png"/><Relationship Id="rId17" Type="http://schemas.openxmlformats.org/officeDocument/2006/relationships/image" Target="media/8308296091eb8b214b7343a7d26ad4cfa67d70e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2026-09-14T06:18:04.775Z</dcterms:created>
  <dcterms:modified xsi:type="dcterms:W3CDTF">2026-09-14T06:18:04.777Z</dcterms:modified>
</cp:coreProperties>
</file>

<file path=docProps/custom.xml><?xml version="1.0" encoding="utf-8"?>
<Properties xmlns="http://schemas.openxmlformats.org/officeDocument/2006/custom-properties" xmlns:vt="http://schemas.openxmlformats.org/officeDocument/2006/docPropsVTypes"/>
</file>