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January 7,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whom it may concern;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regards to Brandon Paxton's Practicum, and work at the State of Nebraska OCIO Web Team, beginning in January of 2017 through present. Brandon's involvement with our team here at the OCIO State of Nebraska has primarily been through partnering with a couple of our system administrators on the Nebraska Directory Services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Brandon has been involved in supporting our directory of end-users, and our reverse proxy/load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balancer products. Brandon has also had a secondary role, as that of a Web Developer.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our web development team, under the guidance of his onsite mentor, he's experienced several real-world projects that have made use of the knowledge he's brought to us from his schooling at SCC. These projects have, at times, stretched Brandon a bit out of his comfort zone and he has been up to the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challenge.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addition to the development projects Brandon has been involved in, there are also several very important areas in which he was involved that eluded to in the introductory paragraph. During Brandon's time with our team, we've had not only one system administrator retire, but just recently a second has retired with very little advance notice. Brandon has done well learning what he can, and implementing what he's learned.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Brandon has spent considerable time learning about and working with eDirectory, a Microfocus LDAP implementation. He's learned how to use LDAP tools, and create, and modify LDAP scripts. He runs a script each month to purge inactive accounts, thereby saving the State of Nebraska considerable monies as the vendor charges for each account in the directory.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has also spent considerable hands on time learning about two versions of our reverse-proxy product, called Access Manager. He has become fairly proficient in the system administration of this product, as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kindly,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 Wyrick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Supervisor - Web Team Nebraska Office of the CIO OFFICE 402.471.8069 tod.wyrick@nebraska.gov cio.nebraska.gov Facebook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Twitter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