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arial" w:hAnsi="arial" w:cs="arial"/>
          <w:i w:val="0"/>
          <w:iCs w:val="0"/>
          <w:caps w:val="0"/>
          <w:color w:val="333333"/>
          <w:spacing w:val="0"/>
          <w:sz w:val="24"/>
          <w:szCs w:val="24"/>
          <w:bdr w:val="none" w:color="auto" w:sz="0" w:space="0"/>
        </w:rPr>
      </w:pPr>
      <w:r>
        <w:rPr>
          <w:rFonts w:hint="eastAsia"/>
          <w:lang w:val="en-US" w:eastAsia="zh-CN"/>
        </w:rPr>
        <w:t>2024-07-26 股市收评</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A股三大指数今日集体上涨，截至收盘，沪指涨0.14%，深成指涨1.45%，创业板指涨0.92%，北证50指涨0.6%，沪深京三市成交额6105亿元，其中沪深两市6061亿元，较上日放量175亿元。两市超4400只个股上涨。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drawing>
          <wp:inline distT="0" distB="0" distL="114300" distR="114300">
            <wp:extent cx="3810000" cy="2486025"/>
            <wp:effectExtent l="0" t="0" r="0" b="317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810000" cy="2486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板块题材上，家电、汽车拆解、商业航天、军工装备、农机板块涨幅居前；银行、光伏、ST、高位红利股跌幅居前。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盘面上，受政策面影响，家电、汽车拆解、农机等设备更新相关个股大涨，</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"http://stockpage.10jqka.com.cn/300894/"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火星人</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"http://stockpage.10jqka.com.cn/300894/"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300894</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"http://stockpage.10jqka.com.cn/605336/"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帅丰电器</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"http://stockpage.10jqka.com.cn/605336/"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605336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"http://stockpage.10jqka.com.cn/002035/"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华帝股份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"http://stockpage.10jqka.com.cn/002035/"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002035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"http://stockpage.10jqka.com.cn/603657/"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春光科技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"http://stockpage.10jqka.com.cn/603657/"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603657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"http://stockpage.10jqka.com.cn/002668/"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TCL智家</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"http://stockpage.10jqka.com.cn/002668/"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002668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"http://stockpage.10jqka.com.cn/000921/"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海信家电</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"http://stockpage.10jqka.com.cn/000921/"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000921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）等10余股涨停。商业航天板块今日表现强势，</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"http://stockpage.10jqka.com.cn/300281/"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金明精机</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"http://stockpage.10jqka.com.cn/300281/"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300281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）、霍莱沃、</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"http://stockpage.10jqka.com.cn/300780/"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德恩精工</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"http://stockpage.10jqka.com.cn/300780/"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300780</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"http://stockpage.10jqka.com.cn/300971/"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博亚精工</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"http://stockpage.10jqka.com.cn/300971/"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300971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）20cm涨停，</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"http://stockpage.10jqka.com.cn/301079/"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邵阳液压</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"http://stockpage.10jqka.com.cn/301079/"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301079</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）、航天环宇、</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"http://stockpage.10jqka.com.cn/001379/"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腾达科技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"http://stockpage.10jqka.com.cn/001379/"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001379</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"http://stockpage.10jqka.com.cn/002347/"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泰尔股份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"http://stockpage.10jqka.com.cn/002347/"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002347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）等多股大涨。银行股今日震荡调整，建设银行、工商银行、农业银行、</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"http://stockpage.10jqka.com.cn/601658/"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邮储银行</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"http://stockpage.10jqka.com.cn/601658/"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601658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）等盘中跌超2%。此外，多只高位红利股也迎来调整，</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"http://stockpage.10jqka.com.cn/600941/"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中国移动</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"http://stockpage.10jqka.com.cn/600941/"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600941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"http://stockpage.10jqka.com.cn/601728/"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中国电信</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"http://stockpage.10jqka.com.cn/601728/"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601728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）跌超4%，</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"http://stockpage.10jqka.com.cn/600025/"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华能水电</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"http://stockpage.10jqka.com.cn/600025/"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600025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"http://stockpage.10jqka.com.cn/600900/"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长江电力</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"http://stockpage.10jqka.com.cn/600900/"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600900</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）跌超2%，</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"http://stockpage.10jqka.com.cn/601088/"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中国神华</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"http://stockpage.10jqka.com.cn/601088/"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601088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）跌超1%。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板块分析：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drawing>
          <wp:inline distT="0" distB="0" distL="114300" distR="114300">
            <wp:extent cx="3810000" cy="6457950"/>
            <wp:effectExtent l="0" t="0" r="0" b="1905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810000" cy="64579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同花顺热股榜：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jc w:val="center"/>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drawing>
          <wp:inline distT="0" distB="0" distL="114300" distR="114300">
            <wp:extent cx="3810000" cy="17316450"/>
            <wp:effectExtent l="0" t="0" r="0" b="635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3810000" cy="17316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异动回顾：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09:25 A股开盘，上证指数低开0.03%，深证成指高开0.45%，创业板指高开0.3%。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09:26 家电板块高开，</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"http://stockpage.10jqka.com.cn/001387/"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雪祺电气</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"http://stockpage.10jqka.com.cn/001387/"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001387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）竞价涨停，</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"http://stockpage.10jqka.com.cn/000521/"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长虹美菱</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"http://stockpage.10jqka.com.cn/000521/"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000521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）涨超8%，海信家电、</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"http://stockpage.10jqka.com.cn/600690/"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海尔智家</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"http://stockpage.10jqka.com.cn/600690/"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600690</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"http://stockpage.10jqka.com.cn/000333/"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美的集团</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"http://stockpage.10jqka.com.cn/000333/"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000333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）等纷纷高开。消息面上，两部门印发《关于加力支持大规模设备更新和消费品以旧换新的若干措施》，现就统筹安排3000亿元左右超长期特别国债资金，加力支持大规模设备更新和消费品以旧换新。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09:27 汽车整车板块高开，</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"http://stockpage.10jqka.com.cn/000951/"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中国重汽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"http://stockpage.10jqka.com.cn/000951/"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000951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）高开超9%，</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"http://stockpage.10jqka.com.cn/600686/"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金龙汽车</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"http://stockpage.10jqka.com.cn/600686/"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600686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）涨超7%，</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"http://stockpage.10jqka.com.cn/000800/"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一汽解放</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"http://stockpage.10jqka.com.cn/000800/"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000800</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"http://stockpage.10jqka.com.cn/000572/"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海马汽车</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"http://stockpage.10jqka.com.cn/000572/"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000572</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"http://stockpage.10jqka.com.cn/600066/"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宇通客车</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"http://stockpage.10jqka.com.cn/600066/"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600066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"http://stockpage.10jqka.com.cn/000550/"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江铃汽车</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"http://stockpage.10jqka.com.cn/000550/"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000550</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）等高开。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09:28 汽车拆解概念股高开，</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"http://stockpage.10jqka.com.cn/301049/"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超越科技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"http://stockpage.10jqka.com.cn/301049/"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301049</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）20cm竞价涨停，德众汽车涨超14%，</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"http://stockpage.10jqka.com.cn/301265/"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华新环保</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"http://stockpage.10jqka.com.cn/301265/"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301265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"http://stockpage.10jqka.com.cn/002009/"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天奇股份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"http://stockpage.10jqka.com.cn/002009/"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002009</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"http://stockpage.10jqka.com.cn/601388/"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怡球资源</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"http://stockpage.10jqka.com.cn/601388/"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601388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）等高开。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09:31 农机板块盘初走强，</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"http://stockpage.10jqka.com.cn/600099/"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林海股份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"http://stockpage.10jqka.com.cn/600099/"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600099</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）触及涨停，</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"http://stockpage.10jqka.com.cn/000338/"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潍柴动力</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"http://stockpage.10jqka.com.cn/000338/"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000338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）涨超7%，</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"http://stockpage.10jqka.com.cn/002448/"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中原内配</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"http://stockpage.10jqka.com.cn/002448/"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002448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"http://stockpage.10jqka.com.cn/601038/"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一拖股份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"http://stockpage.10jqka.com.cn/601038/"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601038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"http://stockpage.10jqka.com.cn/601177/"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杭齿前进</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"http://stockpage.10jqka.com.cn/601177/"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601177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）等上扬。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09:32 </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"http://stockpage.10jqka.com.cn/000595/"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宝塔实业</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"http://stockpage.10jqka.com.cn/000595/"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000595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）一字涨停，公司拟收购宁夏电投新能源有限公司100%股权。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09:34 证券板块盘初拉升，</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"http://stockpage.10jqka.com.cn/000712/"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锦龙股份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"http://stockpage.10jqka.com.cn/000712/"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000712</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）触及涨停5天4板，</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"http://stockpage.10jqka.com.cn/601878/"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浙商证券</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"http://stockpage.10jqka.com.cn/601878/"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601878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）涨超3%，东方证券、</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"http://stockpage.10jqka.com.cn/600155/"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华创云信</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"http://stockpage.10jqka.com.cn/600155/"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600155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"http://stockpage.10jqka.com.cn/601136/"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首创证券</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"http://stockpage.10jqka.com.cn/601136/"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601136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）等跟涨。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09:35 深证成指涨幅扩大至1%，上证指数涨0.09%，创业板指涨0.8%。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09:37 环保股盘初集体走高，</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"http://stockpage.10jqka.com.cn/002645/"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华宏科技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"http://stockpage.10jqka.com.cn/002645/"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002645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）涨停，怡球资源、华新环保涨超8%，</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"http://stockpage.10jqka.com.cn/002340/"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格林美</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"http://stockpage.10jqka.com.cn/002340/"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002340</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）、天奇股份等纷纷上涨。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09:39 东方甄选盘初迅速跌超25%，成交额超5000万港元，主播董宇辉离职，公司将于今日下午3时召开股东交流电话会议。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09:41 深成指、创业板指双双涨超1%，家电、汽车整车、资源回收板块涨幅居前，两市超4400股上涨。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09:42 无人驾驶板块盘初走强，</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"http://stockpage.10jqka.com.cn/300923/"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研奥股份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"http://stockpage.10jqka.com.cn/300923/"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300923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）涨超17%，</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"http://stockpage.10jqka.com.cn/002418/"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康盛股份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"http://stockpage.10jqka.com.cn/002418/"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002418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"http://stockpage.10jqka.com.cn/002813/"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路畅科技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"http://stockpage.10jqka.com.cn/002813/"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002813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"http://stockpage.10jqka.com.cn/002232/"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启明信息</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"http://stockpage.10jqka.com.cn/002232/"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002232</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）涨停，</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"http://stockpage.10jqka.com.cn/000957/"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中通客车</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"http://stockpage.10jqka.com.cn/000957/"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000957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"http://stockpage.10jqka.com.cn/600006/"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东风汽车</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"http://stockpage.10jqka.com.cn/600006/"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600006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）等纷纷上扬。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09:49 风电板块再度上扬，</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"http://stockpage.10jqka.com.cn/300690/"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双一科技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"http://stockpage.10jqka.com.cn/300690/"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300690</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）涨超8%，</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"http://stockpage.10jqka.com.cn/300772/"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运达股份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"http://stockpage.10jqka.com.cn/300772/"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300772</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）涨超5%，</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"http://stockpage.10jqka.com.cn/002202/"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金风科技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"http://stockpage.10jqka.com.cn/002202/"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002202</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"http://stockpage.10jqka.com.cn/002487/"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大金重工</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"http://stockpage.10jqka.com.cn/002487/"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002487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"http://stockpage.10jqka.com.cn/601615/"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明阳智能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"http://stockpage.10jqka.com.cn/601615/"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601615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）等跟涨。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10:20 创新药概念股震荡走低，特宝生物短线跳水跌超5%，迈威生物、首药控股等跌超3%，</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"http://stockpage.10jqka.com.cn/000999/"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华润三九</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"http://stockpage.10jqka.com.cn/000999/"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000999</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"http://stockpage.10jqka.com.cn/301333/"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诺思格</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"http://stockpage.10jqka.com.cn/301333/"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301333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"http://stockpage.10jqka.com.cn/600721/"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百花医药</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"http://stockpage.10jqka.com.cn/600721/"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600721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）等跟跌。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10:29 高位红利股持续下挫，中国移动跌超5%，长江电力跌超3%，华能水电跌超2%，工商银行、中国银行等纷纷下跌。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10:32 </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"http://stockpage.10jqka.com.cn/600187/"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国中水务</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"http://stockpage.10jqka.com.cn/600187/"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600187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）触及涨停走出5连板，成交额超7亿元。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10:35 富时中国A50指数期货持续走低现跌超1%。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10:41 商业航天板块持续走强，金明精机、霍莱沃、泰尔股份、腾达科技、</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"http://stockpage.10jqka.com.cn/600501/"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航天晨光</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"http://stockpage.10jqka.com.cn/600501/"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600501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）等多股涨停。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11:09 国资云概念股异动，</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"http://stockpage.10jqka.com.cn/300895/"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铜牛信息</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"http://stockpage.10jqka.com.cn/300895/"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300895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）直线拉升涨超10%，</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"http://stockpage.10jqka.com.cn/000815/"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美利云</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"http://stockpage.10jqka.com.cn/000815/"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000815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）涨超8%，</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"http://stockpage.10jqka.com.cn/300212/"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易华录</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"http://stockpage.10jqka.com.cn/300212/"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300212</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"http://stockpage.10jqka.com.cn/300523/"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辰安科技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"http://stockpage.10jqka.com.cn/300523/"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300523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）等跟涨。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11:15 半导体芯片板块再度拉升，臻镭科技涨超13%，</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"http://stockpage.10jqka.com.cn/300327/"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中颖电子</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"http://stockpage.10jqka.com.cn/300327/"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300327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）涨超7%，</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"http://stockpage.10jqka.com.cn/300046/"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台基股份</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"http://stockpage.10jqka.com.cn/300046/"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300046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）、赛微微电、利扬芯片等跟涨。消息面上，据中国网，国资委表示加大科技创新投入，加快突破关键领域“卡脖子”技术瓶颈。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13:07 传媒板块异动，</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"http://stockpage.10jqka.com.cn/603598/"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引力传媒</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"http://stockpage.10jqka.com.cn/603598/"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603598</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）拉升涨停，</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"http://stockpage.10jqka.com.cn/300242/"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佳云科技</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"http://stockpage.10jqka.com.cn/300242/"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300242</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）涨超6%，</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"http://stockpage.10jqka.com.cn/300063/"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天龙集团</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"http://stockpage.10jqka.com.cn/300063/"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300063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"http://stockpage.10jqka.com.cn/002354/"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天娱数科</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"http://stockpage.10jqka.com.cn/002354/"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002354</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"http://stockpage.10jqka.com.cn/000607/"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华媒控股</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"http://stockpage.10jqka.com.cn/000607/"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000607</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）等跟涨。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13:24 工业母机概念股午后持续走高，德恩精工、博亚精工20cm涨停，</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"http://stockpage.10jqka.com.cn/002685/"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华东重机</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"http://stockpage.10jqka.com.cn/002685/"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002685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）涨超8%，</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"http://stockpage.10jqka.com.cn/002046/"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国机精工</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"http://stockpage.10jqka.com.cn/002046/"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002046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"http://stockpage.10jqka.com.cn/603131/"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上海沪工</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"http://stockpage.10jqka.com.cn/603131/"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603131</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）等跟涨。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13:26 农机板块午后持续走强，潍柴动力、一拖股份触及涨停，</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"http://stockpage.10jqka.com.cn/300045/"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华力创通</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"http://stockpage.10jqka.com.cn/300045/"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300045</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）涨超8%，</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"http://stockpage.10jqka.com.cn/603789/"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星光农机</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"http://stockpage.10jqka.com.cn/603789/"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603789</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）、杭齿前进、</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"http://stockpage.10jqka.com.cn/301533/"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威马农机</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"http://stockpage.10jqka.com.cn/301533/"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301533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）等涨幅居前。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14:12 据</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同花顺</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"http://stockpage.10jqka.com.cn/300033/"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300033</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）iFinD数据，按余额规模口径统计，截至目前南向资金净流入超50亿元，其中港股通(沪)流入超30亿元，港股通(深)流入超19亿元。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消息面：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1、招商银行下调存款利率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招商银行下调存款利率，一年期、两年期、三年期和五年期人民币定期存款利率分别降至1.35%、1.45%、1.75%、1.8%。与此前相比，1年期及以下整存整取存款利率下调10BP，2年、3年、5年期下调20BP。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2、硬刚谷歌！OpenAI将推在线搜索工具“SearchGPT”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OpenAI将推出一款在线搜索工具“SearchGPT” ，以直接挑战谷歌。这个名为SearchGPT的新搜索工具将作为一个网络浏览器的原型发布，并为用户提供独立的搜索体验，之后可以添加到ChatGPT中。该产品在视觉上与ChatGPT截然不同，因为它不只是生成一个答案，而是提供一系列链接——类似于搜索引擎——允许用户点击到外部网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3、分析师：年底前后还有可能启动又一轮存款利率下调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东方金诚首席宏观分析师王青认为，这次存款利率下调有助于银行稳息差，对银行维持稳健经营、防范金融风险、支持实体经济融资具有积极意义。他判断，本次存款利率下调，有可能推动更大规模的存款向理财“搬家”王青判断，四季度7天期逆回购利率仍存在下调空间，届时将带动两个期限品种LPR报价跟进调整。因此，年底前后还有可能启动又一轮存款利率下调。(上证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4、中信建投：商业航天加速落地，政策企业双端推进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"http://stockpage.10jqka.com.cn/601066/"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中信建投</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w:t>
      </w:r>
      <w:r>
        <w:rPr>
          <w:rFonts w:hint="default" w:ascii="arial" w:hAnsi="arial" w:cs="arial"/>
          <w:i w:val="0"/>
          <w:iCs w:val="0"/>
          <w:caps w:val="0"/>
          <w:color w:val="408CD7"/>
          <w:spacing w:val="0"/>
          <w:sz w:val="24"/>
          <w:szCs w:val="24"/>
          <w:u w:val="none"/>
          <w:bdr w:val="none" w:color="auto" w:sz="0" w:space="0"/>
        </w:rPr>
        <w:fldChar w:fldCharType="begin"/>
      </w:r>
      <w:r>
        <w:rPr>
          <w:rFonts w:hint="default" w:ascii="arial" w:hAnsi="arial" w:cs="arial"/>
          <w:i w:val="0"/>
          <w:iCs w:val="0"/>
          <w:caps w:val="0"/>
          <w:color w:val="408CD7"/>
          <w:spacing w:val="0"/>
          <w:sz w:val="24"/>
          <w:szCs w:val="24"/>
          <w:u w:val="none"/>
          <w:bdr w:val="none" w:color="auto" w:sz="0" w:space="0"/>
        </w:rPr>
        <w:instrText xml:space="preserve"> HYPERLINK "http://stockpage.10jqka.com.cn/601066/" \t "/Users/chenhua/Documents\\x/_blank" </w:instrText>
      </w:r>
      <w:r>
        <w:rPr>
          <w:rFonts w:hint="default" w:ascii="arial" w:hAnsi="arial" w:cs="arial"/>
          <w:i w:val="0"/>
          <w:iCs w:val="0"/>
          <w:caps w:val="0"/>
          <w:color w:val="408CD7"/>
          <w:spacing w:val="0"/>
          <w:sz w:val="24"/>
          <w:szCs w:val="24"/>
          <w:u w:val="none"/>
          <w:bdr w:val="none" w:color="auto" w:sz="0" w:space="0"/>
        </w:rPr>
        <w:fldChar w:fldCharType="separate"/>
      </w:r>
      <w:r>
        <w:rPr>
          <w:rStyle w:val="7"/>
          <w:rFonts w:hint="default" w:ascii="arial" w:hAnsi="arial" w:cs="arial"/>
          <w:i w:val="0"/>
          <w:iCs w:val="0"/>
          <w:caps w:val="0"/>
          <w:color w:val="408CD7"/>
          <w:spacing w:val="0"/>
          <w:sz w:val="24"/>
          <w:szCs w:val="24"/>
          <w:u w:val="none"/>
          <w:bdr w:val="none" w:color="auto" w:sz="0" w:space="0"/>
        </w:rPr>
        <w:t>601066</w:t>
      </w:r>
      <w:r>
        <w:rPr>
          <w:rFonts w:hint="default" w:ascii="arial" w:hAnsi="arial" w:cs="arial"/>
          <w:i w:val="0"/>
          <w:iCs w:val="0"/>
          <w:caps w:val="0"/>
          <w:color w:val="408CD7"/>
          <w:spacing w:val="0"/>
          <w:sz w:val="24"/>
          <w:szCs w:val="24"/>
          <w:u w:val="none"/>
          <w:bdr w:val="none" w:color="auto" w:sz="0" w:space="0"/>
        </w:rPr>
        <w:fldChar w:fldCharType="end"/>
      </w:r>
      <w:r>
        <w:rPr>
          <w:rFonts w:hint="default" w:ascii="arial" w:hAnsi="arial" w:cs="arial"/>
          <w:i w:val="0"/>
          <w:iCs w:val="0"/>
          <w:caps w:val="0"/>
          <w:color w:val="333333"/>
          <w:spacing w:val="0"/>
          <w:sz w:val="24"/>
          <w:szCs w:val="24"/>
          <w:bdr w:val="none" w:color="auto" w:sz="0" w:space="0"/>
        </w:rPr>
        <w:t>）研报指出，卫星互联网可实现全球覆盖，是星地融合网络的重要组成部分，军民领域应用前景光明，市场空间广阔。近日，武汉市发布《商业航天突破性发展若干措施》，北京火箭大街启动建设，打造全国首个商业航天共性科研生产基地，政策端持续加码。中国移动研究院成立星地融合技术研究所，聚焦我国卫星互联网产业发展。长征十二号运载火箭在海南商业航天发射场起竖，我国火箭发射效率再提升。高分十一号05星发射成功，国家航天任务有序推进。美国NASA宣布取消“毒蛇”(VIPER)月球车项目，重返月球的“阿耳忒弥斯”计划困难重重。建议关注先行的产业链中上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5、人民币兑美元中间价较上日调升51点至7.1270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人民币兑美元中间价较上日调升51点至7.1270。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　6、央行今日进行3580.5亿元7天期逆回购操作，中标利率为1.70%，与此前持平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央行今日进行3580.5亿元7天期逆回购操作，中标利率为1.70%，与此前持平。同花顺iFinD数据显示，因今日有590亿元7天期逆回购到期，当日实现净投放2990.5亿元。央行本周共开展9847.5亿元逆回购操作和2000亿元1年期MLF操作，因本周共有11830亿元逆回购到期，本周实现净投放17.5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7、李大霄退休 英大证券回应大河财立方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7月26日，英大证券首席经济学家李大霄微博简介更新，变更为“前券商首席经济学家”。随后，记者就此事电话联系英大证券，该公司工作人员表示，李大霄已于上周退休。(大河财立方)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　8、国资委：提升战略性新兴产业收入和增加值占比 加快转向创新驱动的内涵式增长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国务院国资委副主任王宏志今日在国新办新闻发布会上表示，下一步，将聚焦提升“五个价值”，推动企业进一步履行好功能使命。分别是：提升增加值，提高企业对GDP的总体贡献，开展国有经济增加值核算；提升功能价值，推动建立国有企业履行战略使命评价制度，更加科学地衡量企业的经营效率和综合贡献；提升经济增加值，强化“先算再投”的意识和习惯，优化国有资本投向和布局，增强价值创造能力；提升战略性新兴产业收入和增加值占比，加快转向创新驱动的内涵式增长；提升品牌价值，培育更多质量卓越、优势明显、拥有自主知识产权的央企品牌，擦亮中央企业的金字招牌。(中国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9、国资委：未来五年中央企业预计安排大规模设备更新改造总投资超3万亿元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国务院国资委财务监管与运行评价局负责人刘绍娓今日在国新办新闻发布会上表示，下一步，将坚持能给尽给、应给尽给原则，加大出资人政策支持力度，指导中央企业紧盯新一轮技术革命和产业变革方向，在本轮大规模设备更新中发挥表率引领作用。未来五年，中央企业预计安排大规模设备更新改造总投资超3万亿元。同时，我们要求中央企业在采购设备时对各类企业一视同仁，坚持买技术水平最好、性价比最高的装备，让质价双优的装备供应商脱颖而出。(中国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10、国资委：将加快推动以应用示范牵引人工智能产业发展 有序推进智算中心和算力调度运营平台建设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国务院国资委科技创新局负责人方磊26日在国新办新闻发布会上表示，下一步，国务院国资委将加快推动以应用示范牵引人工智能产业发展，中央企业也有信心、有决心、有能力抢抓战略机遇，携手各方力量，加快成为智算资源的供给者、应用场景的转化者和产业生态的培育者。一是深入挖掘高价值场景并全面开放，开展供需协同合作，形成一批行业应用示范标杆。二是探索高质量数据集标准体系与建设路径，分批构建重点行业高质量数据集。三是有序推进智算中心和算力调度运营平台建设，做强智算能力供给，更好服务中小企业。四是紧盯前沿提升基础大模型能力，完善大模型测评体系，探索建立一批产业发展共同体，加快推动对外赋能。(中国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11、红利资产的筹码因何而松动？消息人士：部分机构为实现收益，开始卖出大盘权重股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今天早盘，A股市场迎来了一个重大变局：核心红利资产开始杀跌。在上证指数跌幅贡献榜上，工商银行、农业银行、中国银行、长江电力、中国电信等股票的跌幅贡献居前，而这些股票今天的跌幅都达到2%以上。中国移动、交通银行、浦发银行等股票的跌幅较大。而此前，这些股票的走势都要明显强于大盘。消息人士透露，部分机构为实现收益，开始卖出大盘权重股。尽管国债收益率持续下行，红利资产行情是否终结仍存疑。华泰证券数据显示，外资、公募等在红利仓位较高，未来走势需关注经济数据和市场风格变化。(券商中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12、李大霄回应退休 将继续为资本市场建言献策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7月26日中午，针对退休一事，李大霄本人回复记者：“退休属实。”对于退休后的安排，李大霄向记者表示：“目前暂时还没有什么规划。不过还会继续为资本市场的健康发展建言献策，这是我的发心。”(大河财立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w:t>
      </w:r>
      <w:r>
        <w:rPr>
          <w:rStyle w:val="6"/>
          <w:rFonts w:hint="default" w:ascii="arial" w:hAnsi="arial" w:cs="arial"/>
          <w:i w:val="0"/>
          <w:iCs w:val="0"/>
          <w:caps w:val="0"/>
          <w:color w:val="333333"/>
          <w:spacing w:val="0"/>
          <w:sz w:val="24"/>
          <w:szCs w:val="24"/>
          <w:bdr w:val="none" w:color="auto" w:sz="0" w:space="0"/>
        </w:rPr>
        <w:t>13、自然资源部：鼓励各地因城施策，探索土地混合开发存量资产运营等政策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0"/>
        <w:rPr>
          <w:rFonts w:hint="default" w:ascii="arial" w:hAnsi="arial" w:cs="arial"/>
          <w:i w:val="0"/>
          <w:iCs w:val="0"/>
          <w:caps w:val="0"/>
          <w:color w:val="333333"/>
          <w:spacing w:val="0"/>
          <w:sz w:val="24"/>
          <w:szCs w:val="24"/>
        </w:rPr>
      </w:pPr>
      <w:r>
        <w:rPr>
          <w:rFonts w:hint="default" w:ascii="arial" w:hAnsi="arial" w:cs="arial"/>
          <w:i w:val="0"/>
          <w:iCs w:val="0"/>
          <w:caps w:val="0"/>
          <w:color w:val="333333"/>
          <w:spacing w:val="0"/>
          <w:sz w:val="24"/>
          <w:szCs w:val="24"/>
          <w:bdr w:val="none" w:color="auto" w:sz="0" w:space="0"/>
        </w:rPr>
        <w:t>　　自然资源部办公厅印发《城中村改造国土空间规划政策指引》，指引指出鼓励各地因城施策，探索土地混合开发、空间复合利用、容积率核定优化、跨空间单元统筹、存量资产运营等政策，推动形成规划管控与市场激励良性互动的机制。各地自然资源主管部门可会同有关部门按需制定适合城中村改造的地方性规划标准和规范。充分保障村民合法权益，先行做好意愿征求、产业搬迁、人员妥善安置、历史文化保护、落实征收补偿安置资金等前期工作，巩固提升村民原有生活水平。为外来人口提供经济可负担的居住空间，着力解决新市民、青年人等群体住房困难。</w:t>
      </w:r>
    </w:p>
    <w:p>
      <w:pPr>
        <w:rPr>
          <w:sz w:val="18"/>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FBA100"/>
    <w:rsid w:val="1FFC0B9F"/>
    <w:rsid w:val="F7DCB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2024-07-26T15:11:00Z</dcterms:created>
  <dc:creator>Data</dc:creator>
  <cp:lastModifiedBy>chenhua</cp:lastModifiedBy>
  <dcterms:modified xsi:type="dcterms:W3CDTF">2024-07-26T15:11:59Z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DF8F901105B299DF374CA3660EEED63A_42</vt:lpwstr>
  </property>
</Properties>
</file>