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NTN GEO 随机接入仿真 — 需求实现情况核查报告</w:t>
      </w:r>
    </w:p>
    <w:p>
      <w:r>
        <w:rPr>
          <w:b/>
        </w:rPr>
        <w:t xml:space="preserve">核查对象: </w:t>
      </w:r>
      <w:r>
        <w:t>contrib/geo-sat 模块, 主仿真程序 examples/ntn-ra-compare.cc</w:t>
      </w:r>
    </w:p>
    <w:p>
      <w:r>
        <w:rPr>
          <w:b/>
        </w:rPr>
        <w:t xml:space="preserve">说明: </w:t>
      </w:r>
      <w:r>
        <w:t>逐条核查"是否实现 / 如何实现 / 代码位置"。代码行号对应核查时的源码版本, 后续改动可能偏移。</w:t>
      </w:r>
    </w:p>
    <w:p>
      <w:pPr>
        <w:pStyle w:val="Heading1"/>
      </w:pPr>
      <w:r>
        <w:t>需求 1：用户模型</w:t>
      </w:r>
    </w:p>
    <w:p>
      <w:r>
        <w:t>要求：用户模型采用均匀分布，消费级、便携式终端，数量 100 个，单波束半径 200KM。</w:t>
      </w:r>
    </w:p>
    <w:p>
      <w:pPr>
        <w:pStyle w:val="Heading2"/>
      </w:pPr>
      <w:r>
        <w:t>1.1 均匀分布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波束圆盘内按面积均匀分布</w:t>
      </w:r>
    </w:p>
    <w:p>
      <w:r>
        <w:t>算法逻辑：每个 UE 在所属波束圆盘内随机撒点。极坐标采样, 半径用 ρ=R·√U (U~均匀[0,1]) 保证圆盘内面积均匀 (而非向中心聚集), 角度 φ~均匀[0,2π)。</w:t>
      </w:r>
    </w:p>
    <w:p>
      <w:r>
        <w:t>代码位置：</w:t>
      </w:r>
    </w:p>
    <w:p>
      <w:pPr>
        <w:spacing w:after="80"/>
      </w:pPr>
      <w:r>
        <w:rPr>
          <w:rFonts w:ascii="Consolas" w:hAnsi="Consolas"/>
          <w:sz w:val="18"/>
        </w:rPr>
        <w:t>examples/ntn-ra-compare.cc:335  SampleUniformInDisc()</w:t>
        <w:br/>
        <w:t xml:space="preserve">    double rho = radiusM * std::sqrt(rng-&gt;GetValue(0,1));</w:t>
        <w:br/>
        <w:t xml:space="preserve">    double phi = rng-&gt;GetValue(0, 2*M_PI);</w:t>
        <w:br/>
        <w:t xml:space="preserve">    return Vector(center.x + rho*cos(phi), center.y + rho*sin(phi), 0);</w:t>
        <w:br/>
        <w:t>调用: examples/ntn-ra-compare.cc:697 (每个 UE 创建时)</w:t>
      </w:r>
    </w:p>
    <w:p>
      <w:pPr>
        <w:pStyle w:val="Heading2"/>
      </w:pPr>
      <w:r>
        <w:t>1.2 终端数量 100 个</w:t>
      </w:r>
    </w:p>
    <w:p>
      <w:r>
        <w:rPr>
          <w:b/>
        </w:rPr>
        <w:t xml:space="preserve">结论: </w:t>
      </w:r>
      <w:r>
        <w:rPr>
          <w:b/>
          <w:color w:val="1A7F37"/>
        </w:rPr>
        <w:t>有 (注意口径)</w:t>
      </w:r>
      <w:r>
        <w:t xml:space="preserve">  每波束 100 个 (7 波束共 700)</w:t>
      </w:r>
    </w:p>
    <w:p>
      <w:r>
        <w:t>算法逻辑：dev 预设下每波束 100 个 UE。注意：7 个波束合计 700 个；若要求是"全网总共 100 个", 则需把波束数或每波束数调整。</w:t>
      </w:r>
    </w:p>
    <w:p>
      <w:pPr>
        <w:spacing w:after="80"/>
      </w:pPr>
      <w:r>
        <w:rPr>
          <w:rFonts w:ascii="Consolas" w:hAnsi="Consolas"/>
          <w:sz w:val="18"/>
        </w:rPr>
        <w:t>examples/ntn-ra-compare.cc:438   numUesPerBeam = 100;   // dev 预设默认</w:t>
        <w:br/>
        <w:t>可命令行覆盖: --numUesPerBeam / --numBeams</w:t>
      </w:r>
    </w:p>
    <w:p>
      <w:pPr>
        <w:pStyle w:val="Heading2"/>
      </w:pPr>
      <w:r>
        <w:t>1.3 单波束半径 200KM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默认单波束半径 200 km</w:t>
      </w:r>
    </w:p>
    <w:p>
      <w:pPr>
        <w:spacing w:after="80"/>
      </w:pPr>
      <w:r>
        <w:rPr>
          <w:rFonts w:ascii="Consolas" w:hAnsi="Consolas"/>
          <w:sz w:val="18"/>
        </w:rPr>
        <w:t>examples/ntn-ra-compare.cc:467   double beamRadiusKm = 200.0;</w:t>
        <w:br/>
        <w:t>7 波束六边形布局 BuildBeamCenters(): 中心波束 + 外圈 6 个, 间距 1.5×半径</w:t>
      </w:r>
    </w:p>
    <w:p>
      <w:pPr>
        <w:pStyle w:val="Heading2"/>
      </w:pPr>
      <w:r>
        <w:t>1.4 消费级 / 便携式终端</w:t>
      </w:r>
    </w:p>
    <w:p>
      <w:r>
        <w:rPr>
          <w:b/>
        </w:rPr>
        <w:t xml:space="preserve">结论: </w:t>
      </w:r>
      <w:r>
        <w:rPr>
          <w:b/>
          <w:color w:val="B06A00"/>
        </w:rPr>
        <w:t>部分</w:t>
      </w:r>
      <w:r>
        <w:t xml:space="preserve">  默认便携式(UT_PORTABLE); 消费级(UT_CONSUMER)未启用, 链路未按终端类型区分</w:t>
      </w:r>
    </w:p>
    <w:p>
      <w:r>
        <w:t>算法逻辑：终端类型枚举 UtType 含 UT_PORTABLE(便携式) 与 UT_CONSUMER(消费级)。SatUtMac 默认 UT_PORTABLE；ntn-ra-compare 未调用 SetUtType，故全部 UE 为便携式。消费级类型未被使用；per-UE 链路预算 EIRP 统一取值(默认 33dBm)，未按终端类型差异化。</w:t>
      </w:r>
    </w:p>
    <w:p>
      <w:pPr>
        <w:spacing w:after="80"/>
      </w:pPr>
      <w:r>
        <w:rPr>
          <w:rFonts w:ascii="Consolas" w:hAnsi="Consolas"/>
          <w:sz w:val="18"/>
        </w:rPr>
        <w:t>model/sat-ut-mac.cc:51   m_utType (UT_PORTABLE)   // 默认</w:t>
        <w:br/>
        <w:t>examples/ntn-ra-compare.cc 中未出现 SetUtType / UT_CONSUMER</w:t>
      </w:r>
    </w:p>
    <w:p>
      <w:pPr>
        <w:pStyle w:val="Heading1"/>
      </w:pPr>
      <w:r>
        <w:t>需求 2：Msg1 与 Msg4</w:t>
      </w:r>
    </w:p>
    <w:p>
      <w:pPr>
        <w:pStyle w:val="Heading2"/>
      </w:pPr>
      <w:r>
        <w:t>2.1 Msg1 — preamble 碰撞 (preamble ID 范围 64, 考虑接入用户数)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preamble 碰撞建模完整; ID 池 64; 同前导码多 UE 全部失败重传</w:t>
      </w:r>
    </w:p>
    <w:p>
      <w:r>
        <w:t>算法逻辑：每个 UE 随机选 preamble ID (1..64)。多个 UE 选同一 ID 时, 基站 Msg1 阶段只解出一条前导码、发一条 RAR；碰撞推迟到 Msg3 暴露：同一 TC-RNTI 收到 ≥2 份 Msg3 即判解码失败、不发 Msg4 → 这些 UE 全部竞争超时、重传 (不建捕获效应, 即"全输")。</w:t>
      </w:r>
    </w:p>
    <w:p>
      <w:pPr>
        <w:spacing w:after="80"/>
      </w:pPr>
      <w:r>
        <w:rPr>
          <w:rFonts w:ascii="Consolas" w:hAnsi="Consolas"/>
          <w:sz w:val="18"/>
        </w:rPr>
        <w:t>preamble ID 池=64:  examples/ntn-ra-compare.cc:543  numPreambles = numPrachChannels*64</w:t>
        <w:br/>
        <w:t>随机选 ID:          examples/ntn-ra-compare.cc:691  rng-&gt;GetInteger(1, numPreambles)</w:t>
        <w:br/>
        <w:t>碰撞→全失败:        model/geo-beam-scheduler.cc:1444  if (reqs.size() &gt; 1) { ...不发 Msg4... }</w:t>
      </w:r>
    </w:p>
    <w:p>
      <w:pPr>
        <w:pStyle w:val="Heading2"/>
      </w:pPr>
      <w:r>
        <w:t>2.2 Msg1 — preamble 错误 (虚警/漏检概率-SNR 曲线)</w:t>
      </w:r>
    </w:p>
    <w:p>
      <w:r>
        <w:rPr>
          <w:b/>
        </w:rPr>
        <w:t xml:space="preserve">结论: </w:t>
      </w:r>
      <w:r>
        <w:rPr>
          <w:b/>
          <w:color w:val="B06A00"/>
        </w:rPr>
        <w:t>部分</w:t>
      </w:r>
      <w:r>
        <w:t xml:space="preserve">  "消费曲线→漏检/虚警"机制已实现; 但曲线本体是内置解析近似, 非链路级仿真真实输出</w:t>
      </w:r>
    </w:p>
    <w:p>
      <w:r>
        <w:t>算法逻辑：PrachDetectionModel 把 PRACH 的 SNR 映射为 Pd(检测概率)/Pfa(虚警概率)(曲线线性插值或固定值), 再做伯努利抽样。调度器在 PRACH 窗口处理时：对每个有 UE 的前导码组(SNR 取组内最大值)抽 Pd 决定检到/漏检, 漏检则不发 RAR；对每个空闲前导码抽 Pfa 决定是否虚警。每个 UE 的 SNR 由其位置/仰角解析算出并注入 (见需求 3)。</w:t>
      </w:r>
    </w:p>
    <w:p>
      <w:r>
        <w:t>实现现状：当前默认使用内置解析曲线 Pd=0.5·erfc((snr50−SNR)/(√2·slope))、Pfa 恒定(CFAR 近似), 写入 ntn-results/prach_detection_curve.txt 并加载。这是占位/近似, 不是真正的链路级仿真输出。要满足"链路级仿真输出曲线"需用 --prachDetectionCurveCsv 喂入链路级导出的 snr,pd,pfa 曲线。另提供理论 vs 实测对照输出与绘图脚本 plot_prach_detection.py。</w:t>
      </w:r>
    </w:p>
    <w:p>
      <w:pPr>
        <w:spacing w:after="80"/>
      </w:pPr>
      <w:r>
        <w:rPr>
          <w:rFonts w:ascii="Consolas" w:hAnsi="Consolas"/>
          <w:sz w:val="18"/>
        </w:rPr>
        <w:t>检测模型:   model/prach-detection-model.{h,cc}  (SNR→Pd/Pfa→伯努利抽样)</w:t>
        <w:br/>
        <w:t>漏检判定:   model/geo-beam-scheduler.cc:1228  DetectActivePreamble(snr) → 1230 RecordMissedGroup</w:t>
        <w:br/>
        <w:t>组内取最大SNR: model/geo-beam-scheduler.cc:1173</w:t>
        <w:br/>
        <w:t>虚警判定:   model/geo-beam-scheduler.cc:1265  DetectFalseAlarm(defaultSNR)</w:t>
        <w:br/>
        <w:t>per-UE SNR 注入: model/sat-ut-mac.cc:89  SetPrachSnrDb()</w:t>
        <w:br/>
        <w:t>内置曲线生成: examples/ntn-ra-compare.cc:387 DefaultCurvePd / :394 WriteDefaultCurve</w:t>
        <w:br/>
        <w:t>替换为链路级曲线: 命令行 --prachDetectionCurveCsv=&lt;file&gt;</w:t>
      </w:r>
    </w:p>
    <w:p>
      <w:pPr>
        <w:pStyle w:val="Heading2"/>
      </w:pPr>
      <w:r>
        <w:t>2.3 Msg4 — 由 PDCCH/PDSCH 的 BLER-SNR 曲线决定解调输出</w:t>
      </w:r>
    </w:p>
    <w:p>
      <w:r>
        <w:rPr>
          <w:b/>
        </w:rPr>
        <w:t xml:space="preserve">结论: </w:t>
      </w:r>
      <w:r>
        <w:rPr>
          <w:b/>
          <w:color w:val="C02929"/>
        </w:rPr>
        <w:t>没有</w:t>
      </w:r>
      <w:r>
        <w:t xml:space="preserve">  未实现：全模块无 BLER 模型; Msg4 成败仅由竞争计数决定, 不查 BLER-SNR 曲线</w:t>
      </w:r>
    </w:p>
    <w:p>
      <w:r>
        <w:t>算法逻辑(现状)：Msg4 是否发出仅取决于竞争解决——同一 TC-RNTI 若只收到 1 份 Msg3 则解码成功、回显该 UE 身份并发 Msg4；若 ≥2 份则失败不发。整个过程没有任何下行信道的 SNR→BLER 解调判决：不存在 PDCCH/PDSCH 信道建模, 也没有 BLER-SNR 曲线 (全模块 grep "BLER" 无结果)。</w:t>
      </w:r>
    </w:p>
    <w:p>
      <w:r>
        <w:t>结论：该需求当前完全没有实现, 是最大缺口。需新增：按 Msg2(RAR)/Msg4 的下行 SNR 查 PDCCH、PDSCH 的 BLER-SNR 曲线, 以 BLER 做一次解调成功/失败判决。</w:t>
      </w:r>
    </w:p>
    <w:p>
      <w:pPr>
        <w:spacing w:after="80"/>
      </w:pPr>
      <w:r>
        <w:rPr>
          <w:rFonts w:ascii="Consolas" w:hAnsi="Consolas"/>
          <w:sz w:val="18"/>
        </w:rPr>
        <w:t>竞争计数判决(无 BLER): model/geo-beam-scheduler.cc:1434 ProcessMsg3Window()</w:t>
        <w:br/>
        <w:t xml:space="preserve">    if (reqs.size() &gt; 1)  -&gt; 不发 Msg4 (1444-1452)</w:t>
        <w:br/>
        <w:t xml:space="preserve">    else 单份 -&gt; 回显 ueIdentity 发 Msg4 (1454-1464)</w:t>
        <w:br/>
        <w:t>全模块未发现: BLER / PDCCH-BLER / PDSCH-BLER 任何建模</w:t>
      </w:r>
    </w:p>
    <w:p>
      <w:pPr>
        <w:pStyle w:val="Heading1"/>
      </w:pPr>
      <w:r>
        <w:t>需求 3：大尺度衰落 (仰角 → 不同位置不同信道质量)</w:t>
      </w:r>
    </w:p>
    <w:p>
      <w:r>
        <w:t>要求：终端侧信道质量计算需考虑终端与卫星的仰角等因素, 实现卫星波束下不同位置 UE 不同信道质量。</w:t>
      </w:r>
    </w:p>
    <w:p>
      <w:r>
        <w:rPr>
          <w:b/>
        </w:rPr>
        <w:t xml:space="preserve">结论: </w:t>
      </w:r>
      <w:r>
        <w:rPr>
          <w:b/>
          <w:color w:val="1A7F37"/>
        </w:rPr>
        <w:t>有</w:t>
      </w:r>
      <w:r>
        <w:t xml:space="preserve">  以大尺度链路预算实现 (含仰角/斜距/波束增益滚降), 同波束不同位置 UE 得到不同 SNR</w:t>
      </w:r>
    </w:p>
    <w:p>
      <w:r>
        <w:t>算法逻辑：对每个 UE, 由其位置与卫星位置算出：① UE→卫星矢量、斜距 dist 与仰角 elev=atan2(竖直分量, 水平分量)；② 相对波束中心(天线 boresight)的偏轴角 θ；③ 抛物面天线增益滚降 G(θ)=Gmax−12(θ/θ3dB)²；④ 链路预算 RxPower=EIRP+G(θ)−FSPL(dist,f)−大气损耗, 噪声底=−174+10log10(B)+NF, SNR=RxPower−噪声底。位置不同 → 偏轴角/斜距不同 → 增益与 SNR 不同, 从而实现"同波束下不同位置不同信道质量"。该 SNR 经 SetPrachSnrDb 注入 Msg1 检测(需求 2.2)。</w:t>
      </w:r>
    </w:p>
    <w:p>
      <w:r>
        <w:t>复用关系：FSPL 与波束增益公式与信道模型 SatChannel 完全一致(解析复现, 不拖入完整频谱栈)。</w:t>
      </w:r>
    </w:p>
    <w:p>
      <w:pPr>
        <w:spacing w:after="80"/>
      </w:pPr>
      <w:r>
        <w:rPr>
          <w:rFonts w:ascii="Consolas" w:hAnsi="Consolas"/>
          <w:sz w:val="18"/>
        </w:rPr>
        <w:t>per-UE 链路计算: examples/ntn-ra-compare.cc:346  ComputeUeLink()</w:t>
        <w:br/>
        <w:t xml:space="preserve">    仰角 elev = atan2(toSat.z, 水平分量)</w:t>
        <w:br/>
        <w:t xml:space="preserve">    偏轴角 θ = 卫星→波束中心 与 卫星→UE 夹角</w:t>
        <w:br/>
        <w:t xml:space="preserve">    增益 G = Gmax - 12*(θ/θ3dB)^2 (下限旁瓣)</w:t>
        <w:br/>
        <w:t xml:space="preserve">    SNR = EIRP + G - FSPL - 大气损耗 - 噪声底</w:t>
        <w:br/>
        <w:t>FSPL 公式:    model/sat-channel.cc:95   CalcFspl()  (同式)</w:t>
        <w:br/>
        <w:t>波束增益公式:  model/sat-channel.cc:106  CalcBeamGain()  (同式)</w:t>
        <w:br/>
        <w:t>仰角几何:     model/sat-channel.cc:237  GetThreeGppTable() 内 atan2 求仰角</w:t>
      </w:r>
    </w:p>
    <w:p>
      <w:r>
        <w:t>限定说明：当前为大尺度链路预算(SNR=C/N)。不含干扰项(非严格 SINR)；不含 38.811 小尺度衰落表(NTNUrbanLOS, sat-channel.cc:44, ra-compare 未使用)；无阴影/雨衰。</w:t>
      </w:r>
    </w:p>
    <w:p>
      <w:pPr>
        <w:pStyle w:val="Heading1"/>
      </w:pPr>
      <w:r>
        <w:t>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需求条目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 用户模型-均匀分布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波束圆盘面积均匀采样</w:t>
            </w:r>
          </w:p>
        </w:tc>
      </w:tr>
      <w:tr>
        <w:tc>
          <w:tcPr>
            <w:tcW w:type="dxa" w:w="2880"/>
          </w:tcPr>
          <w:p>
            <w:r>
              <w:t>1 用户模型-数量100/波束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每波束100, 7波束共700</w:t>
            </w:r>
          </w:p>
        </w:tc>
      </w:tr>
      <w:tr>
        <w:tc>
          <w:tcPr>
            <w:tcW w:type="dxa" w:w="2880"/>
          </w:tcPr>
          <w:p>
            <w:r>
              <w:t>1 用户模型-波束半径200KM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默认 beamRadiusKm=200</w:t>
            </w:r>
          </w:p>
        </w:tc>
      </w:tr>
      <w:tr>
        <w:tc>
          <w:tcPr>
            <w:tcW w:type="dxa" w:w="2880"/>
          </w:tcPr>
          <w:p>
            <w:r>
              <w:t>1 用户模型-消费级终端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默认便携式UT_PORTABLE; 消费级未启用/未差异化</w:t>
            </w:r>
          </w:p>
        </w:tc>
      </w:tr>
      <w:tr>
        <w:tc>
          <w:tcPr>
            <w:tcW w:type="dxa" w:w="2880"/>
          </w:tcPr>
          <w:p>
            <w:r>
              <w:t>2 Msg1-preamble碰撞(ID 64)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随机选ID, 碰撞Msg3全失败重传</w:t>
            </w:r>
          </w:p>
        </w:tc>
      </w:tr>
      <w:tr>
        <w:tc>
          <w:tcPr>
            <w:tcW w:type="dxa" w:w="2880"/>
          </w:tcPr>
          <w:p>
            <w:r>
              <w:t>2 Msg1-preamble错误(Pd/Pfa-SNR)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机制完整; 曲线为内置解析近似, 需链路级真实曲线</w:t>
            </w:r>
          </w:p>
        </w:tc>
      </w:tr>
      <w:tr>
        <w:tc>
          <w:tcPr>
            <w:tcW w:type="dxa" w:w="2880"/>
          </w:tcPr>
          <w:p>
            <w:r>
              <w:t>2 Msg4-PDCCH/PDSCH BLER-SNR解调</w:t>
            </w:r>
          </w:p>
        </w:tc>
        <w:tc>
          <w:tcPr>
            <w:tcW w:type="dxa" w:w="2880"/>
          </w:tcPr>
          <w:p>
            <w:r>
              <w:t>没有</w:t>
            </w:r>
          </w:p>
        </w:tc>
        <w:tc>
          <w:tcPr>
            <w:tcW w:type="dxa" w:w="2880"/>
          </w:tcPr>
          <w:p>
            <w:r>
              <w:t>无BLER模型, Msg4仅竞争计数判决</w:t>
            </w:r>
          </w:p>
        </w:tc>
      </w:tr>
      <w:tr>
        <w:tc>
          <w:tcPr>
            <w:tcW w:type="dxa" w:w="2880"/>
          </w:tcPr>
          <w:p>
            <w:r>
              <w:t>3 大尺度衰落(仰角→位置信道质量)</w:t>
            </w:r>
          </w:p>
        </w:tc>
        <w:tc>
          <w:tcPr>
            <w:tcW w:type="dxa" w:w="2880"/>
          </w:tcPr>
          <w:p>
            <w:r>
              <w:t>有</w:t>
            </w:r>
          </w:p>
        </w:tc>
        <w:tc>
          <w:tcPr>
            <w:tcW w:type="dxa" w:w="2880"/>
          </w:tcPr>
          <w:p>
            <w:r>
              <w:t>链路预算含仰角/增益滚降; 限大尺度SNR</w:t>
            </w:r>
          </w:p>
        </w:tc>
      </w:tr>
    </w:tbl>
    <w:p>
      <w:pPr>
        <w:pStyle w:val="Heading2"/>
      </w:pPr>
      <w:r>
        <w:t>待补缺口 (按优先级)</w:t>
      </w:r>
    </w:p>
    <w:p>
      <w:pPr>
        <w:pStyle w:val="ListNumber"/>
      </w:pPr>
      <w:r>
        <w:t>1. Msg4 的 PDCCH/PDSCH BLER-SNR 解调模型 —— 完全缺失, 优先级最高。</w:t>
      </w:r>
    </w:p>
    <w:p>
      <w:pPr>
        <w:pStyle w:val="ListNumber"/>
      </w:pPr>
      <w:r>
        <w:t>2. Msg1 的链路级 Pd/Pfa-SNR 曲线 —— 框架就绪, 需用链路级仿真导出的曲线替换内置近似。</w:t>
      </w:r>
    </w:p>
    <w:p>
      <w:pPr>
        <w:pStyle w:val="ListNumber"/>
      </w:pPr>
      <w:r>
        <w:t>3. 终端类型"消费级" —— 当前默认便携式, 需启用 UT_CONSUMER 并按终端类型差异化链路参数。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