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NTN GEO 随机接入仿真 — 需求实现核查报告（详细版）</w:t>
      </w:r>
    </w:p>
    <w:p>
      <w:r>
        <w:rPr>
          <w:b/>
        </w:rPr>
        <w:t xml:space="preserve">核查对象: </w:t>
      </w:r>
      <w:r>
        <w:t>contrib/geo-sat 模块, 主仿真程序 examples/ntn-ra-compare.cc</w:t>
      </w:r>
    </w:p>
    <w:p>
      <w:r>
        <w:rPr>
          <w:b/>
        </w:rPr>
        <w:t xml:space="preserve">说明: </w:t>
      </w:r>
      <w:r>
        <w:t>逐条核查"是否实现/如何实现/代码位置"，并重点详解 Msg1 虚警漏检逻辑。本次已在相关源码中补充详细中文注释，注释所在文件与位置见各节。行号对应核查时版本，后续改动可能偏移。</w:t>
      </w:r>
    </w:p>
    <w:p>
      <w:pPr>
        <w:pStyle w:val="Heading1"/>
      </w:pPr>
      <w:r>
        <w:t>需求 1：用户模型（均匀分布 / 消费级·便携式 / 100个 / 半径200KM）</w:t>
      </w:r>
    </w:p>
    <w:p>
      <w:pPr>
        <w:pStyle w:val="Heading2"/>
      </w:pPr>
      <w:r>
        <w:t>1.1 均匀分布</w:t>
      </w:r>
    </w:p>
    <w:p>
      <w:r>
        <w:rPr>
          <w:b/>
        </w:rPr>
        <w:t xml:space="preserve">结论: </w:t>
      </w:r>
      <w:r>
        <w:rPr>
          <w:b/>
          <w:color w:val="1A7F37"/>
        </w:rPr>
        <w:t>有</w:t>
      </w:r>
      <w:r>
        <w:t xml:space="preserve">  波束圆盘内按面积均匀分布</w:t>
      </w:r>
    </w:p>
    <w:p>
      <w:r>
        <w:t>每个 UE 在所属波束圆盘内随机撒点：极坐标采样，半径 ρ=R·√U（U~均匀[0,1]）保证圆盘内面积均匀（不向中心聚集），角度 φ~均匀[0,2π)。移动性为静止（位置在仿真开始即固定）。</w:t>
      </w:r>
    </w:p>
    <w:p>
      <w:r>
        <w:rPr>
          <w:b/>
        </w:rPr>
        <w:t xml:space="preserve">代码位置: </w:t>
      </w:r>
      <w:r>
        <w:rPr>
          <w:rFonts w:ascii="Consolas" w:hAnsi="Consolas"/>
          <w:sz w:val="18"/>
        </w:rPr>
        <w:t>examples/ntn-ra-compare.cc:335  SampleUniformInDisc()；调用于 :697（每个 UE 创建时）</w:t>
      </w:r>
    </w:p>
    <w:p>
      <w:pPr>
        <w:spacing w:after="80"/>
      </w:pPr>
      <w:r>
        <w:rPr>
          <w:rFonts w:ascii="Consolas" w:hAnsi="Consolas"/>
          <w:sz w:val="17"/>
        </w:rPr>
        <w:t>double rho = radiusM * std::sqrt(rng-&gt;GetValue(0,1));  // sqrt(U) -&gt; 面积均匀</w:t>
        <w:br/>
        <w:t>double phi = rng-&gt;GetValue(0, 2*M_PI);</w:t>
        <w:br/>
        <w:t>return Vector(center.x+rho*cos(phi), center.y+rho*sin(phi), 0);</w:t>
      </w:r>
    </w:p>
    <w:p>
      <w:r>
        <w:t>说明：模块另有 helper/user-helper.cc 的 RandomDiscPositionAllocator 也实现波束圆盘均匀分布，但其面向 ns-3 Node；ra-compare 为纯 MAC 对象（不建 Node），故在示例内解析撒点，算法等价。</w:t>
      </w:r>
    </w:p>
    <w:p>
      <w:pPr>
        <w:pStyle w:val="Heading2"/>
      </w:pPr>
      <w:r>
        <w:t>1.2 终端数量 100 个</w:t>
      </w:r>
    </w:p>
    <w:p>
      <w:r>
        <w:rPr>
          <w:b/>
        </w:rPr>
        <w:t xml:space="preserve">结论: </w:t>
      </w:r>
      <w:r>
        <w:rPr>
          <w:b/>
          <w:color w:val="1A7F37"/>
        </w:rPr>
        <w:t>有 (注意口径)</w:t>
      </w:r>
      <w:r>
        <w:t xml:space="preserve">  每波束 100 个；7 波束合计 700</w:t>
      </w:r>
    </w:p>
    <w:p>
      <w:r>
        <w:rPr>
          <w:b/>
        </w:rPr>
        <w:t xml:space="preserve">代码位置: </w:t>
      </w:r>
      <w:r>
        <w:rPr>
          <w:rFonts w:ascii="Consolas" w:hAnsi="Consolas"/>
          <w:sz w:val="18"/>
        </w:rPr>
        <w:t>examples/ntn-ra-compare.cc:438  numUesPerBeam=100（dev 预设）；可用 --numUesPerBeam/--numBeams 覆盖</w:t>
      </w:r>
    </w:p>
    <w:p>
      <w:r>
        <w:t>注意：当前是"每波束 100"，7 波束共 700。若要求为"全网总共 100"，需调整波束数或每波束数。</w:t>
      </w:r>
    </w:p>
    <w:p>
      <w:pPr>
        <w:pStyle w:val="Heading2"/>
      </w:pPr>
      <w:r>
        <w:t>1.3 单波束半径 200KM</w:t>
      </w:r>
    </w:p>
    <w:p>
      <w:r>
        <w:rPr>
          <w:b/>
        </w:rPr>
        <w:t xml:space="preserve">结论: </w:t>
      </w:r>
      <w:r>
        <w:rPr>
          <w:b/>
          <w:color w:val="1A7F37"/>
        </w:rPr>
        <w:t>有</w:t>
      </w:r>
      <w:r>
        <w:t xml:space="preserve">  默认 beamRadiusKm=200</w:t>
      </w:r>
    </w:p>
    <w:p>
      <w:r>
        <w:rPr>
          <w:b/>
        </w:rPr>
        <w:t xml:space="preserve">代码位置: </w:t>
      </w:r>
      <w:r>
        <w:rPr>
          <w:rFonts w:ascii="Consolas" w:hAnsi="Consolas"/>
          <w:sz w:val="18"/>
        </w:rPr>
        <w:t>examples/ntn-ra-compare.cc:467  double beamRadiusKm=200.0；7 波束六边形布局（中心+外圈6个，间距1.5x半径）</w:t>
      </w:r>
    </w:p>
    <w:p>
      <w:pPr>
        <w:pStyle w:val="Heading2"/>
      </w:pPr>
      <w:r>
        <w:t>1.4 消费级 / 便携式终端</w:t>
      </w:r>
    </w:p>
    <w:p>
      <w:r>
        <w:rPr>
          <w:b/>
        </w:rPr>
        <w:t xml:space="preserve">结论: </w:t>
      </w:r>
      <w:r>
        <w:rPr>
          <w:b/>
          <w:color w:val="B06A00"/>
        </w:rPr>
        <w:t>部分</w:t>
      </w:r>
      <w:r>
        <w:t xml:space="preserve">  默认便携式 UT_PORTABLE；消费级 UT_CONSUMER 未启用，链路未按终端类型区分</w:t>
      </w:r>
    </w:p>
    <w:p>
      <w:r>
        <w:t>终端类型枚举 UtType 含 UT_PORTABLE(便携式)/UT_CONSUMER(消费级)。SatUtMac 默认 UT_PORTABLE；ntn-ra-compare 未调用 SetUtType，故全部 UE 为便携式。消费级类型未被使用；per-UE 链路预算 EIRP 统一取值（默认33dBm），未按终端类型差异化。</w:t>
      </w:r>
    </w:p>
    <w:p>
      <w:r>
        <w:rPr>
          <w:b/>
        </w:rPr>
        <w:t xml:space="preserve">代码位置: </w:t>
      </w:r>
      <w:r>
        <w:rPr>
          <w:rFonts w:ascii="Consolas" w:hAnsi="Consolas"/>
          <w:sz w:val="18"/>
        </w:rPr>
        <w:t>model/sat-ut-mac.cc:51  m_utType(UT_PORTABLE)；门限 model/sat-ut-mac.h:226 起</w:t>
      </w:r>
    </w:p>
    <w:p>
      <w:pPr>
        <w:pStyle w:val="Heading1"/>
      </w:pPr>
      <w:r>
        <w:t>需求 2：Msg1（碰撞 / 虚警漏检）与 Msg4（BLER 解调）</w:t>
      </w:r>
    </w:p>
    <w:p>
      <w:pPr>
        <w:pStyle w:val="Heading2"/>
      </w:pPr>
      <w:r>
        <w:t>2.1 Msg1 — preamble 碰撞（ID 范围 64，考虑接入用户数）</w:t>
      </w:r>
    </w:p>
    <w:p>
      <w:r>
        <w:rPr>
          <w:b/>
        </w:rPr>
        <w:t xml:space="preserve">结论: </w:t>
      </w:r>
      <w:r>
        <w:rPr>
          <w:b/>
          <w:color w:val="1A7F37"/>
        </w:rPr>
        <w:t>有</w:t>
      </w:r>
      <w:r>
        <w:t xml:space="preserve">  preamble 碰撞建模完整；ID 池 64；同前导码多 UE 全部失败重传</w:t>
      </w:r>
    </w:p>
    <w:p>
      <w:r>
        <w:t>preamble ID 池大小 = numPrachChannels x 64（默认 1x64=64）。每个 UE 随机选 1..64。多个 UE 选同一 ID 即发生碰撞：基站 Msg1 阶段只解出一条叠加前导码、发一条 RAR；碰撞推迟到 Msg3 暴露——同一 TC-RNTI 收到 &gt;=2 份 Msg3 即判解码失败、不发 Msg4，这些 UE 全部竞争超时、重传（不建捕获效应，即"全输"）。</w:t>
      </w:r>
    </w:p>
    <w:p>
      <w:r>
        <w:rPr>
          <w:b/>
        </w:rPr>
        <w:t xml:space="preserve">代码位置: </w:t>
      </w:r>
      <w:r>
        <w:rPr>
          <w:rFonts w:ascii="Consolas" w:hAnsi="Consolas"/>
          <w:sz w:val="18"/>
        </w:rPr>
        <w:t>ID 池: examples/ntn-ra-compare.cc:543  numPreambles=numPrachChannels*64</w:t>
        <w:br/>
        <w:t>随机选: examples/ntn-ra-compare.cc:691  rng-&gt;GetInteger(1,numPreambles)</w:t>
        <w:br/>
        <w:t>碰撞计数: model/geo-beam-scheduler.cc:1179  preambleCnt[key]++</w:t>
        <w:br/>
        <w:t>Msg3 全失败: model/geo-beam-scheduler.cc:1482  if (reqs.size()&gt;1) { ...不发 Msg4... }</w:t>
      </w:r>
    </w:p>
    <w:p>
      <w:pPr>
        <w:pStyle w:val="Heading2"/>
      </w:pPr>
      <w:r>
        <w:t>2.2 Msg1 — preamble 错误（虚警/漏检概率-SNR 曲线）【重点】</w:t>
      </w:r>
    </w:p>
    <w:p>
      <w:r>
        <w:rPr>
          <w:b/>
        </w:rPr>
        <w:t xml:space="preserve">结论: </w:t>
      </w:r>
      <w:r>
        <w:rPr>
          <w:b/>
          <w:color w:val="B06A00"/>
        </w:rPr>
        <w:t>部分</w:t>
      </w:r>
      <w:r>
        <w:t xml:space="preserve">  "SNR-&gt;Pd/Pfa-&gt;漏检/虚警"机制完整且默认开启；但曲线本体为内置解析近似，非链路级仿真真实输出</w:t>
      </w:r>
    </w:p>
    <w:p>
      <w:pPr>
        <w:pStyle w:val="Heading3"/>
      </w:pPr>
      <w:r>
        <w:t>2.2.1 总体逻辑</w:t>
      </w:r>
    </w:p>
    <w:p>
      <w:r>
        <w:t>分两层：① 检测模型 PrachDetectionModel 负责"把 SNR 映射成 Pd/Pfa 并抛硬币"；② 调度器 GeoBeamScheduler::ProcessPrachWindow() 在每个 PRACH 聚合窗口结束时，对前导码逐个判定漏检/虚警。说明：本节相关源码已补充详细中文注释（见下方位置）。</w:t>
      </w:r>
    </w:p>
    <w:p>
      <w:pPr>
        <w:pStyle w:val="Heading3"/>
      </w:pPr>
      <w:r>
        <w:t>2.2.2 检测模型 PrachDetectionModel（SNR-&gt;Pd/Pfa-&gt;伯努利）</w:t>
      </w:r>
    </w:p>
    <w:p>
      <w:r>
        <w:t>模型不做波形相关，只把 PRACH 的 SNR 映射为检测概率 Pd 与虚警概率 Pfa（曲线线性插值，或固定值），再做伯努利抽样。Pd/Pfa 来源二选一：固定值 SetFixedProbabilities，或曲线 LoadCurveCsv(CSV列 snr_db,pd,pfa)。曲线非空时优先用曲线。</w:t>
      </w:r>
    </w:p>
    <w:p>
      <w:r>
        <w:rPr>
          <w:b/>
        </w:rPr>
        <w:t xml:space="preserve">代码位置: </w:t>
      </w:r>
      <w:r>
        <w:rPr>
          <w:rFonts w:ascii="Consolas" w:hAnsi="Consolas"/>
          <w:sz w:val="18"/>
        </w:rPr>
        <w:t>model/prach-detection-model.{h,cc}（文件头与各函数已加详细注释）</w:t>
        <w:br/>
        <w:t xml:space="preserve">  DetectActivePreamble(snr)  cc:176 -&gt; DrawBernoulli(GetDetectionProbability(snr))</w:t>
        <w:br/>
        <w:t xml:space="preserve">  DetectFalseAlarm(snr)      cc:184 -&gt; DrawBernoulli(GetFalseAlarmProbability(snr))</w:t>
        <w:br/>
        <w:t xml:space="preserve">  曲线插值 Interpolate()     cc:311（两端钳位，中间线性内插）</w:t>
        <w:br/>
        <w:t xml:space="preserve">  伯努利抽样 DrawBernoulli() cc:348（u&lt;p 则真；p&lt;=0 必假；p&gt;=1 必真）</w:t>
        <w:br/>
        <w:t xml:space="preserve">  CSV 加载 LoadCurveCsv()    cc:109；统计结构 PrachDetectionStats  h:21</w:t>
      </w:r>
    </w:p>
    <w:p>
      <w:pPr>
        <w:spacing w:after="80"/>
      </w:pPr>
      <w:r>
        <w:rPr>
          <w:rFonts w:ascii="Consolas" w:hAnsi="Consolas"/>
          <w:sz w:val="17"/>
        </w:rPr>
        <w:t>// DrawBernoulli: 漏检/虚警随机性的唯一来源</w:t>
        <w:br/>
        <w:t>bool DrawBernoulli(double p){ p=Clamp(p);</w:t>
        <w:br/>
        <w:t xml:space="preserve">  if(p&lt;=0) return false; if(p&gt;=1) return true;</w:t>
        <w:br/>
        <w:t xml:space="preserve">  return m_rng-&gt;GetValue(0,1) &lt; p; }</w:t>
      </w:r>
    </w:p>
    <w:p>
      <w:pPr>
        <w:pStyle w:val="Heading3"/>
      </w:pPr>
      <w:r>
        <w:t>2.2.3 调度器判定逻辑 ProcessPrachWindow（四步）</w:t>
      </w:r>
    </w:p>
    <w:p>
      <w:r>
        <w:t>源码已加函数级总览注释 + 逐步注释。</w:t>
      </w:r>
    </w:p>
    <w:p>
      <w:r>
        <w:rPr>
          <w:b/>
        </w:rPr>
        <w:t xml:space="preserve">代码位置: </w:t>
      </w:r>
      <w:r>
        <w:rPr>
          <w:rFonts w:ascii="Consolas" w:hAnsi="Consolas"/>
          <w:sz w:val="18"/>
        </w:rPr>
        <w:t>model/geo-beam-scheduler.cc:1148-1163（函数级总览注释）；函数体 :1164 起</w:t>
      </w:r>
    </w:p>
    <w:p>
      <w:pPr>
        <w:pStyle w:val="ListBullet"/>
      </w:pPr>
      <w:r>
        <w:t>[1] 归组与统计（:1169 起）：按 (RA-RNTI, preambleId) 把窗口内前导码归组。preambleCnt=组内 UE 数（&gt;1 即碰撞）；preambleSnrDb=组的检测 SNR，取组内所有 UE 的最大值（基站只解出最强者代表该组）；activePreamblesByRaRnti=每个 RO 已占用的前导码集合（供虚警步反推空闲前导码）。</w:t>
      </w:r>
    </w:p>
    <w:p>
      <w:pPr>
        <w:spacing w:after="80"/>
      </w:pPr>
      <w:r>
        <w:rPr>
          <w:rFonts w:ascii="Consolas" w:hAnsi="Consolas"/>
          <w:sz w:val="17"/>
        </w:rPr>
        <w:t>// 组 SNR 取最大值；UE 的 SNR 由位置/仰角解析算出并随前导码携带 (a.prachSnrDb)</w:t>
        <w:br/>
        <w:t>const double snrDb = std::isfinite(a.prachSnrDb) ? a.prachSnrDb : m_defaultPrachSnrDb;</w:t>
        <w:br/>
        <w:t>if (snrIt==end || snrDb &gt; snrIt-&gt;second) preambleSnrDb[key] = snrDb;  // geo-beam-scheduler.cc:1199</w:t>
      </w:r>
    </w:p>
    <w:p>
      <w:pPr>
        <w:pStyle w:val="ListBullet"/>
      </w:pPr>
      <w:r>
        <w:t>[2] 漏检判定（:1248 起，对"有 UE 的"前导码组）：用组 SNR 查 Pd 抛硬币。漏检-&gt;记一次漏检（连累组内 count 个 UE）、continue 不发 RAR-&gt;这些 UE 等不到响应-&gt;竞争超时-&gt;重传；检到-&gt;记一次检到，继续发 RAR。</w:t>
      </w:r>
    </w:p>
    <w:p>
      <w:pPr>
        <w:spacing w:after="80"/>
      </w:pPr>
      <w:r>
        <w:rPr>
          <w:rFonts w:ascii="Consolas" w:hAnsi="Consolas"/>
          <w:sz w:val="17"/>
        </w:rPr>
        <w:t>m_prachDetectionModel-&gt;RecordActiveGroup(count, snrDb);          // 分母  (cc:1257)</w:t>
        <w:br/>
        <w:t>if (!m_prachDetectionModel-&gt;DetectActivePreamble(snrDb)) {        // Bernoulli(Pd(snr)) (cc:1258)</w:t>
        <w:br/>
        <w:t xml:space="preserve">    m_prachDetectionModel-&gt;RecordMissedGroup(count);              // 漏检 -&gt; 不发 RAR</w:t>
        <w:br/>
        <w:t xml:space="preserve">    continue;</w:t>
        <w:br/>
        <w:t>}</w:t>
        <w:br/>
        <w:t>m_prachDetectionModel-&gt;RecordDetectedGroup(snrDb);                // 检到</w:t>
      </w:r>
    </w:p>
    <w:p>
      <w:pPr>
        <w:pStyle w:val="ListBullet"/>
      </w:pPr>
      <w:r>
        <w:t>[3] 虚警判定（:1280 起，对"空闲"前导码）：虚警是噪声越门限，只发生在没人发的前导码上。遍历 1..numPrachPreambles，跳过已占用的；对空闲前导码先记一次"试验"（Pfa 分母），再用默认 SNR 查 Pfa 抛硬币；命中-&gt;给这条没人发的前导码也发幽灵 RAR、凭空占 Msg3 资源，并记录浪费的 RB。</w:t>
      </w:r>
    </w:p>
    <w:p>
      <w:pPr>
        <w:spacing w:after="80"/>
      </w:pPr>
      <w:r>
        <w:rPr>
          <w:rFonts w:ascii="Consolas" w:hAnsi="Consolas"/>
          <w:sz w:val="17"/>
        </w:rPr>
        <w:t>m_prachDetectionModel-&gt;RecordFalseAlarmTrial();                  // Pfa 分母 (cc:1301)</w:t>
        <w:br/>
        <w:t>if (m_prachDetectionModel-&gt;DetectFalseAlarm(m_defaultPrachSnrDb)){// Bernoulli(Pfa) (cc:1302)</w:t>
        <w:br/>
        <w:t xml:space="preserve">    ScheduleRarForDetectedPreamble(...true...);                   // 幽灵 RAR</w:t>
        <w:br/>
        <w:t xml:space="preserve">    m_prachDetectionModel-&gt;RecordFalseAlarmGroup(grantRbs);       // 记虚警+浪费RB</w:t>
        <w:br/>
        <w:t>}</w:t>
      </w:r>
    </w:p>
    <w:p>
      <w:pPr>
        <w:pStyle w:val="ListBullet"/>
      </w:pPr>
      <w:r>
        <w:t>[4] 推进 Msg3 上行 TTI 游标、清空窗口缓存。detectionErrorsEnabled=false 时退化为理想检测（每条有 UE 前导码都检到、无虚警）。</w:t>
      </w:r>
    </w:p>
    <w:p>
      <w:pPr>
        <w:pStyle w:val="Heading3"/>
      </w:pPr>
      <w:r>
        <w:t>2.2.4 per-UE SNR 注入链</w:t>
      </w:r>
    </w:p>
    <w:p>
      <w:r>
        <w:t>每个 UE 的 SNR 在示例里按位置/仰角解析算出（见需求 3），经 SatUtMac::SetPrachSnrDb 存入 m_prachSnrDb，发 Msg1 时写入 preamble.prachSnrDb 带给调度器；调度器据此查曲线（NaN 时回退默认 SNR）。</w:t>
      </w:r>
    </w:p>
    <w:p>
      <w:r>
        <w:rPr>
          <w:b/>
        </w:rPr>
        <w:t xml:space="preserve">代码位置: </w:t>
      </w:r>
      <w:r>
        <w:rPr>
          <w:rFonts w:ascii="Consolas" w:hAnsi="Consolas"/>
          <w:sz w:val="18"/>
        </w:rPr>
        <w:t>注入: examples/ntn-ra-compare.cc:724  utMac-&gt;SetPrachSnrDb(link.snrDb)</w:t>
        <w:br/>
        <w:t>存储: model/sat-ut-mac.cc:89 SetPrachSnrDb；写入 preamble: :356 / :497（Msg1）, :906（MsgA）</w:t>
      </w:r>
    </w:p>
    <w:p>
      <w:pPr>
        <w:pStyle w:val="Heading3"/>
      </w:pPr>
      <w:r>
        <w:t>2.2.5 输出与绘图（理论 vs 实测对照）</w:t>
      </w:r>
    </w:p>
    <w:p>
      <w:r>
        <w:t>仿真默认开启检测，生成内置解析曲线并加载；结尾打印"Pd Curve: Theoretical vs Empirical"对照表，并写数据文件；另提供绘图脚本出 PNG。</w:t>
      </w:r>
    </w:p>
    <w:p>
      <w:r>
        <w:rPr>
          <w:b/>
        </w:rPr>
        <w:t xml:space="preserve">代码位置: </w:t>
      </w:r>
      <w:r>
        <w:rPr>
          <w:rFonts w:ascii="Consolas" w:hAnsi="Consolas"/>
          <w:sz w:val="18"/>
        </w:rPr>
        <w:t>内置曲线公式 DefaultCurvePd() ra-compare:387；写曲线 WriteDefaultCurve() :394</w:t>
        <w:br/>
        <w:t>理论曲线: ntn-results/prach_detection_curve.txt（蓝线）</w:t>
        <w:br/>
        <w:t>实测分箱: ntn-results/prach_detection_empirical.txt（橙点）</w:t>
        <w:br/>
        <w:t>绘图: contrib/geo-sat/examples/plot_prach_detection.py -&gt; ntn-results/prach_detection.png</w:t>
      </w:r>
    </w:p>
    <w:p>
      <w:r>
        <w:t>数据来源（务必区分）：理论曲线=我们内置的解析公式 Pd=0.5*erfc((snr50-SNR)/(sqrt2*slope))、Pfa 恒定（CFAR），属占位/近似，非链路级仿真产物；实测点=本次蒙特卡洛仿真真实统计（每 SNR 箱 detected/active 组数）。要满足"链路级仿真输出曲线"，需用 --prachDetectionCurveCsv 喂入链路级导出的 snr,pd,pfa 曲线。</w:t>
      </w:r>
    </w:p>
    <w:p>
      <w:pPr>
        <w:pStyle w:val="Heading3"/>
      </w:pPr>
      <w:r>
        <w:t>2.2.6 运行指令</w:t>
      </w:r>
    </w:p>
    <w:p>
      <w:pPr>
        <w:spacing w:after="80"/>
      </w:pPr>
      <w:r>
        <w:rPr>
          <w:rFonts w:ascii="Consolas" w:hAnsi="Consolas"/>
          <w:sz w:val="17"/>
        </w:rPr>
        <w:t>./ns3 run "ntn-ra-compare --rachType=0 --numUesPerBeam=100"   # 生成两个数据文件</w:t>
        <w:br/>
        <w:t>python3 contrib/geo-sat/examples/plot_prach_detection.py       # 出 PNG</w:t>
        <w:br/>
        <w:t># 替换为真实链路级曲线:</w:t>
        <w:br/>
        <w:t>./ns3 run "ntn-ra-compare --enablePrachDetectionErrors=1 --prachDetectionCurveCsv=&lt;file&gt;"</w:t>
      </w:r>
    </w:p>
    <w:p>
      <w:pPr>
        <w:pStyle w:val="Heading2"/>
      </w:pPr>
      <w:r>
        <w:t>2.3 Msg4 — 由 PDCCH/PDSCH 的 BLER-SNR 曲线决定解调</w:t>
      </w:r>
    </w:p>
    <w:p>
      <w:r>
        <w:rPr>
          <w:b/>
        </w:rPr>
        <w:t xml:space="preserve">结论: </w:t>
      </w:r>
      <w:r>
        <w:rPr>
          <w:b/>
          <w:color w:val="C02929"/>
        </w:rPr>
        <w:t>没有</w:t>
      </w:r>
      <w:r>
        <w:t xml:space="preserve">  无 BLER 模型；Msg4 成败仅由竞争计数决定，不查 BLER-SNR 曲线</w:t>
      </w:r>
    </w:p>
    <w:p>
      <w:r>
        <w:t>现状：Msg4 是否发出仅取决于竞争解决——同一 TC-RNTI 只收到 1 份 Msg3 则解码成功、回显身份发 Msg4；&gt;=2 份则失败不发。全过程没有任何下行信道 SNR-&gt;BLER 解调判决，不存在 PDCCH/PDSCH 信道建模与 BLER-SNR 曲线（全模块 grep "BLER" 无结果）。</w:t>
      </w:r>
    </w:p>
    <w:p>
      <w:r>
        <w:t>附带说明：UE 侧 ReceiveMsg4 确有 CheckChannelQuality() 信道质量门限（RSRP&gt;=-94.5dBm 且 SNR&gt;=门限），但①是阶跃硬门限非 BLER 曲线；②它读 SatUtPhy，而 ra-compare 未挂 PHY -&gt; 恒通过、当前失效。</w:t>
      </w:r>
    </w:p>
    <w:p>
      <w:r>
        <w:rPr>
          <w:b/>
        </w:rPr>
        <w:t xml:space="preserve">代码位置: </w:t>
      </w:r>
      <w:r>
        <w:rPr>
          <w:rFonts w:ascii="Consolas" w:hAnsi="Consolas"/>
          <w:sz w:val="18"/>
        </w:rPr>
        <w:t>竞争计数判决: model/geo-beam-scheduler.cc:1482  ProcessMsg3Window()  if(reqs.size()&gt;1)-&gt;不发 Msg4</w:t>
        <w:br/>
        <w:t>失效的硬门限: model/sat-ut-mac.cc:670/949 CheckChannelQuality()；定义 :1023（无 PHY 则 return true）</w:t>
        <w:br/>
        <w:t>全模块未发现 BLER/PDCCH-BLER/PDSCH-BLER 任何建模</w:t>
      </w:r>
    </w:p>
    <w:p>
      <w:r>
        <w:t>结论：该需求当前完全没有实现。已另行产出实现方案（见 Msg4_BLER_SNR_实现方案.docx）：新建 Msg4DemodModel（镜像 PRACH 模型，PDCCH+PDSCH 两条 BLER-SNR 曲线），UE 侧 ReceiveMsg4 用 per-UE SNR 做两次伯努利解调，失败则丢弃靠超时重传。</w:t>
      </w:r>
    </w:p>
    <w:p>
      <w:pPr>
        <w:pStyle w:val="Heading1"/>
      </w:pPr>
      <w:r>
        <w:t>需求 3：大尺度衰落（仰角 -&gt; 不同位置不同信道质量）</w:t>
      </w:r>
    </w:p>
    <w:p>
      <w:r>
        <w:rPr>
          <w:b/>
        </w:rPr>
        <w:t xml:space="preserve">结论: </w:t>
      </w:r>
      <w:r>
        <w:rPr>
          <w:b/>
          <w:color w:val="1A7F37"/>
        </w:rPr>
        <w:t>有</w:t>
      </w:r>
      <w:r>
        <w:t xml:space="preserve">  大尺度链路预算含仰角/斜距/波束增益滚降，同波束不同位置 UE 得到不同 SNR</w:t>
      </w:r>
    </w:p>
    <w:p>
      <w:r>
        <w:t>对每个 UE，由其位置与卫星位置算出：①UE-&gt;卫星矢量、斜距 dist、仰角 elev=atan2(竖直,水平)；②相对波束中心(boresight)的偏轴角 theta；③抛物面天线增益滚降 G(theta)=Gmax-12(theta/theta3dB)^2；④链路预算 RxPower=EIRP+G(theta)-FSPL-大气损耗，噪声底=-174+10log10(B)+NF，SNR=RxPower-噪声底。位置不同-&gt;偏轴角/斜距不同-&gt;增益与 SNR 不同，从而实现"同波束下不同位置不同信道质量"。该 SNR 经 SetPrachSnrDb 注入 Msg1 检测。</w:t>
      </w:r>
    </w:p>
    <w:p>
      <w:r>
        <w:rPr>
          <w:b/>
        </w:rPr>
        <w:t xml:space="preserve">代码位置: </w:t>
      </w:r>
      <w:r>
        <w:rPr>
          <w:rFonts w:ascii="Consolas" w:hAnsi="Consolas"/>
          <w:sz w:val="18"/>
        </w:rPr>
        <w:t>per-UE 链路: examples/ntn-ra-compare.cc:346  ComputeUeLink()</w:t>
        <w:br/>
        <w:t>FSPL 公式: model/sat-channel.cc:95  CalcFspl()（同式复用）</w:t>
        <w:br/>
        <w:t>波束增益公式: model/sat-channel.cc:106 CalcBeamGain()（同式复用）</w:t>
        <w:br/>
        <w:t>仰角几何: model/sat-channel.cc:237  GetThreeGppTable() 内 atan2 求仰角</w:t>
      </w:r>
    </w:p>
    <w:p>
      <w:pPr>
        <w:spacing w:after="80"/>
      </w:pPr>
      <w:r>
        <w:rPr>
          <w:rFonts w:ascii="Consolas" w:hAnsi="Consolas"/>
          <w:sz w:val="17"/>
        </w:rPr>
        <w:t>r.elevDeg = atan2(toSat.z, 水平分量)*180/PI;          // 仰角</w:t>
        <w:br/>
        <w:t>theta = 卫星-&gt;波束中心 与 卫星-&gt;UE 的夹角;               // 偏轴角</w:t>
        <w:br/>
        <w:t>gainDbi = Gmax - 12*(theta/theta3dB)^2;               // 增益滚降</w:t>
        <w:br/>
        <w:t>snrDb = EIRP + gainDbi - FSPL(dist,f) - atmos - 噪声底;</w:t>
      </w:r>
    </w:p>
    <w:p>
      <w:r>
        <w:t>限定说明：当前为大尺度链路预算（SNR=C/N）。不含干扰项（非严格 SINR）；不含 38.811 小尺度衰落表（NTNUrbanLOS, sat-channel.cc:44，ra-compare 未使用）；无阴影/雨衰。</w:t>
      </w:r>
    </w:p>
    <w:p>
      <w:pPr>
        <w:pStyle w:val="Heading1"/>
      </w:pPr>
      <w:r>
        <w:t>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需求条目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1 均匀分布</w:t>
            </w:r>
          </w:p>
        </w:tc>
        <w:tc>
          <w:tcPr>
            <w:tcW w:type="dxa" w:w="2880"/>
          </w:tcPr>
          <w:p>
            <w:r>
              <w:t>有</w:t>
            </w:r>
          </w:p>
        </w:tc>
        <w:tc>
          <w:tcPr>
            <w:tcW w:type="dxa" w:w="2880"/>
          </w:tcPr>
          <w:p>
            <w:r>
              <w:t>波束圆盘面积均匀采样（ra-compare:335）</w:t>
            </w:r>
          </w:p>
        </w:tc>
      </w:tr>
      <w:tr>
        <w:tc>
          <w:tcPr>
            <w:tcW w:type="dxa" w:w="2880"/>
          </w:tcPr>
          <w:p>
            <w:r>
              <w:t>1 数量100/波束</w:t>
            </w:r>
          </w:p>
        </w:tc>
        <w:tc>
          <w:tcPr>
            <w:tcW w:type="dxa" w:w="2880"/>
          </w:tcPr>
          <w:p>
            <w:r>
              <w:t>有</w:t>
            </w:r>
          </w:p>
        </w:tc>
        <w:tc>
          <w:tcPr>
            <w:tcW w:type="dxa" w:w="2880"/>
          </w:tcPr>
          <w:p>
            <w:r>
              <w:t>每波束100，7波束共700（:438）</w:t>
            </w:r>
          </w:p>
        </w:tc>
      </w:tr>
      <w:tr>
        <w:tc>
          <w:tcPr>
            <w:tcW w:type="dxa" w:w="2880"/>
          </w:tcPr>
          <w:p>
            <w:r>
              <w:t>1 波束半径200KM</w:t>
            </w:r>
          </w:p>
        </w:tc>
        <w:tc>
          <w:tcPr>
            <w:tcW w:type="dxa" w:w="2880"/>
          </w:tcPr>
          <w:p>
            <w:r>
              <w:t>有</w:t>
            </w:r>
          </w:p>
        </w:tc>
        <w:tc>
          <w:tcPr>
            <w:tcW w:type="dxa" w:w="2880"/>
          </w:tcPr>
          <w:p>
            <w:r>
              <w:t>beamRadiusKm=200（:467）</w:t>
            </w:r>
          </w:p>
        </w:tc>
      </w:tr>
      <w:tr>
        <w:tc>
          <w:tcPr>
            <w:tcW w:type="dxa" w:w="2880"/>
          </w:tcPr>
          <w:p>
            <w:r>
              <w:t>1 消费级终端</w:t>
            </w:r>
          </w:p>
        </w:tc>
        <w:tc>
          <w:tcPr>
            <w:tcW w:type="dxa" w:w="2880"/>
          </w:tcPr>
          <w:p>
            <w:r>
              <w:t>部分</w:t>
            </w:r>
          </w:p>
        </w:tc>
        <w:tc>
          <w:tcPr>
            <w:tcW w:type="dxa" w:w="2880"/>
          </w:tcPr>
          <w:p>
            <w:r>
              <w:t>默认便携式UT_PORTABLE；消费级未启用/未差异化</w:t>
            </w:r>
          </w:p>
        </w:tc>
      </w:tr>
      <w:tr>
        <w:tc>
          <w:tcPr>
            <w:tcW w:type="dxa" w:w="2880"/>
          </w:tcPr>
          <w:p>
            <w:r>
              <w:t>2 Msg1 碰撞(ID 64)</w:t>
            </w:r>
          </w:p>
        </w:tc>
        <w:tc>
          <w:tcPr>
            <w:tcW w:type="dxa" w:w="2880"/>
          </w:tcPr>
          <w:p>
            <w:r>
              <w:t>有</w:t>
            </w:r>
          </w:p>
        </w:tc>
        <w:tc>
          <w:tcPr>
            <w:tcW w:type="dxa" w:w="2880"/>
          </w:tcPr>
          <w:p>
            <w:r>
              <w:t>随机选ID，碰撞Msg3全失败重传</w:t>
            </w:r>
          </w:p>
        </w:tc>
      </w:tr>
      <w:tr>
        <w:tc>
          <w:tcPr>
            <w:tcW w:type="dxa" w:w="2880"/>
          </w:tcPr>
          <w:p>
            <w:r>
              <w:t>2 Msg1 虚警漏检(Pd/Pfa-SNR)</w:t>
            </w:r>
          </w:p>
        </w:tc>
        <w:tc>
          <w:tcPr>
            <w:tcW w:type="dxa" w:w="2880"/>
          </w:tcPr>
          <w:p>
            <w:r>
              <w:t>部分</w:t>
            </w:r>
          </w:p>
        </w:tc>
        <w:tc>
          <w:tcPr>
            <w:tcW w:type="dxa" w:w="2880"/>
          </w:tcPr>
          <w:p>
            <w:r>
              <w:t>机制完整默认开启；曲线为内置解析近似，需链路级真实曲线</w:t>
            </w:r>
          </w:p>
        </w:tc>
      </w:tr>
      <w:tr>
        <w:tc>
          <w:tcPr>
            <w:tcW w:type="dxa" w:w="2880"/>
          </w:tcPr>
          <w:p>
            <w:r>
              <w:t>2 Msg4 BLER-SNR解调</w:t>
            </w:r>
          </w:p>
        </w:tc>
        <w:tc>
          <w:tcPr>
            <w:tcW w:type="dxa" w:w="2880"/>
          </w:tcPr>
          <w:p>
            <w:r>
              <w:t>没有</w:t>
            </w:r>
          </w:p>
        </w:tc>
        <w:tc>
          <w:tcPr>
            <w:tcW w:type="dxa" w:w="2880"/>
          </w:tcPr>
          <w:p>
            <w:r>
              <w:t>无BLER模型，仅竞争计数判决（已出实现方案）</w:t>
            </w:r>
          </w:p>
        </w:tc>
      </w:tr>
      <w:tr>
        <w:tc>
          <w:tcPr>
            <w:tcW w:type="dxa" w:w="2880"/>
          </w:tcPr>
          <w:p>
            <w:r>
              <w:t>3 大尺度衰落(仰角-&gt;位置)</w:t>
            </w:r>
          </w:p>
        </w:tc>
        <w:tc>
          <w:tcPr>
            <w:tcW w:type="dxa" w:w="2880"/>
          </w:tcPr>
          <w:p>
            <w:r>
              <w:t>有</w:t>
            </w:r>
          </w:p>
        </w:tc>
        <w:tc>
          <w:tcPr>
            <w:tcW w:type="dxa" w:w="2880"/>
          </w:tcPr>
          <w:p>
            <w:r>
              <w:t>链路预算含仰角/增益滚降；限大尺度SNR</w:t>
            </w:r>
          </w:p>
        </w:tc>
      </w:tr>
    </w:tbl>
    <w:p>
      <w:pPr>
        <w:pStyle w:val="Heading2"/>
      </w:pPr>
      <w:r>
        <w:t>本次新增/补充的源码注释位置</w:t>
      </w:r>
    </w:p>
    <w:p>
      <w:pPr>
        <w:pStyle w:val="ListBullet"/>
      </w:pPr>
      <w:r>
        <w:t>model/prach-detection-model.{h,cc}：文件头总览 + 每个函数中文注释。</w:t>
      </w:r>
    </w:p>
    <w:p>
      <w:pPr>
        <w:pStyle w:val="ListBullet"/>
      </w:pPr>
      <w:r>
        <w:t>model/geo-beam-scheduler.cc:1148 起 ProcessPrachWindow()：函数级四步总览 + 归组/漏检/虚警逐步详注。</w:t>
      </w:r>
    </w:p>
    <w:p>
      <w:pPr>
        <w:pStyle w:val="ListBullet"/>
      </w:pPr>
      <w:r>
        <w:t>model/sat-ut-mac.{h,cc}：SetPrachSnrDb 与三处 SNR 写入点注释（前序工作）。</w:t>
      </w:r>
    </w:p>
    <w:p>
      <w:pPr>
        <w:pStyle w:val="ListBullet"/>
      </w:pPr>
      <w:r>
        <w:t>examples/ntn-ra-compare.cc：几何/链路/内置曲线段注释（前序工作）。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