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术前谈话 · 家属确认与请求清单（致主刀 / 签字医生）</w:t>
      </w:r>
    </w:p>
    <w:p/>
    <w:p>
      <w:r>
        <w:t>患者：</w:t>
      </w:r>
      <w:r>
        <w:rPr>
          <w:b/>
        </w:rPr>
        <w:t>曹雪梅</w:t>
      </w:r>
      <w:r>
        <w:t>（女，1966-12-07，59岁，46kg，A型 RhD+，RhE-，身份证 510228196612075789）　　住院号：</w:t>
      </w:r>
      <w:r>
        <w:rPr>
          <w:b/>
        </w:rPr>
        <w:t>2156622001</w:t>
      </w:r>
      <w:r>
        <w:t>（重肿，2026-09-08 入院）　病区：妇科肿瘤中心三病区　床号：</w:t>
      </w:r>
      <w:r>
        <w:rPr>
          <w:b/>
        </w:rPr>
        <w:t>外8楼-3床</w:t>
      </w:r>
      <w:r>
        <w:t>（如变动以腕带为准）（既往铜梁中医院住院号457107，两个编号体系各自保留）　　手术日：2026-09-22（周二）　　日期：2026年9月21日（术前谈话日；如改为22日晨请手改）</w:t>
      </w:r>
    </w:p>
    <w:p/>
    <w:p>
      <w:pPr>
        <w:ind w:left="400"/>
      </w:pPr>
      <w:r>
        <w:rPr>
          <w:i/>
        </w:rPr>
        <w:t>医生您好，签字前想确认以下几点，两分钟。其中“标本”一项是恳请，加做单我们现在就签字。</w:t>
      </w:r>
    </w:p>
    <w:p/>
    <w:p>
      <w:pPr>
        <w:pStyle w:val="Heading2"/>
      </w:pPr>
      <w:r>
        <w:t>一、手术范围与目标</w:t>
      </w:r>
    </w:p>
    <w:p/>
    <w:p>
      <w:pPr>
        <w:pStyle w:val="ListNumber"/>
        <w:ind w:left="400"/>
      </w:pPr>
      <w:r>
        <w:t>这次计划切哪些病灶？哪些位置因为风险高打算保留？</w:t>
      </w:r>
    </w:p>
    <w:p>
      <w:pPr>
        <w:pStyle w:val="ListNumber"/>
        <w:ind w:left="400"/>
      </w:pPr>
      <w:r>
        <w:t>这次手术的目标是什么？如果做减瘤，目标是肉眼无残留（CC-0）吗？</w:t>
      </w:r>
    </w:p>
    <w:p>
      <w:pPr>
        <w:pStyle w:val="ListNumber"/>
        <w:ind w:left="400"/>
      </w:pPr>
      <w:r>
        <w:t>需要切肠管（直肠/乙状结肠）、大网膜、阑尾吗？可能要临时造口吗？（PET/CT：骶前 5.5×6.1cm 病灶与直肠上段、乙状结肠分界不清）</w:t>
      </w:r>
    </w:p>
    <w:p>
      <w:pPr>
        <w:pStyle w:val="ListNumber"/>
        <w:ind w:left="400"/>
      </w:pPr>
      <w:r>
        <w:t>会送腹腔冲洗液细胞学吗？</w:t>
      </w:r>
    </w:p>
    <w:p>
      <w:pPr>
        <w:pStyle w:val="ListNumber"/>
        <w:ind w:left="400"/>
      </w:pPr>
      <w:r>
        <w:t>如果开腹发现切不净，会取活检、并把残留位置与大小（CC 评分）写进手术记录吗？</w:t>
      </w:r>
    </w:p>
    <w:p/>
    <w:p>
      <w:pPr>
        <w:pStyle w:val="Heading2"/>
      </w:pPr>
      <w:r>
        <w:t>二、术中预案与同意书</w:t>
      </w:r>
    </w:p>
    <w:p/>
    <w:p>
      <w:pPr>
        <w:pStyle w:val="ListNumber"/>
        <w:ind w:left="400"/>
      </w:pPr>
      <w:r>
        <w:t>如果开腹后发现比影像多、或粘连严重，是继续减瘤还是探查后关腹？什么情况会改计划？</w:t>
      </w:r>
    </w:p>
    <w:p>
      <w:pPr>
        <w:pStyle w:val="ListNumber"/>
        <w:ind w:left="400"/>
      </w:pPr>
      <w:r>
        <w:t>今天签的同意书能否覆盖“必要时扩大手术”？我们接受、也希望一次做够，只求提前知道可能的范围。</w:t>
      </w:r>
    </w:p>
    <w:p/>
    <w:p>
      <w:pPr>
        <w:pStyle w:val="Heading2"/>
      </w:pPr>
      <w:r>
        <w:t>三、输尿管</w:t>
      </w:r>
    </w:p>
    <w:p/>
    <w:p>
      <w:pPr>
        <w:pStyle w:val="ListNumber"/>
        <w:ind w:left="400"/>
      </w:pPr>
      <w:r>
        <w:t>这次放不放输尿管支架？</w:t>
      </w:r>
    </w:p>
    <w:p>
      <w:pPr>
        <w:pStyle w:val="ListNumber"/>
        <w:ind w:left="400"/>
      </w:pPr>
      <w:r>
        <w:t>PET/CT 提示右肾盂-上段输尿管扩张积液、盆腔右侧病灶与右输尿管盆段分界不清——术前要不要泌尿科会诊、复查泌尿系影像？</w:t>
      </w:r>
    </w:p>
    <w:p/>
    <w:p>
      <w:pPr>
        <w:pStyle w:val="Heading2"/>
      </w:pPr>
      <w:r>
        <w:t>四、标本（恳请，加做单现在签字）</w:t>
      </w:r>
    </w:p>
    <w:p/>
    <w:p>
      <w:pPr>
        <w:pStyle w:val="ListNumber"/>
        <w:ind w:left="400"/>
      </w:pPr>
      <w:r>
        <w:t>每个病灶分别留蜡块（院内永久保存，不得用尽）。</w:t>
      </w:r>
    </w:p>
    <w:p>
      <w:pPr>
        <w:pStyle w:val="ListNumber"/>
        <w:ind w:left="400"/>
      </w:pPr>
      <w:r>
        <w:t>新鲜组织冻存备份：取材后 30 分钟内进 −80℃。希望术前一天与病理科对一遍流程——谁执行、谁签收、登记在哪。</w:t>
      </w:r>
    </w:p>
    <w:p>
      <w:pPr>
        <w:pStyle w:val="ListNumber"/>
        <w:ind w:left="400"/>
      </w:pPr>
      <w:r>
        <w:t>病理加做 HER2、CD3、CD8、MAGE-A4（其余免疫组化项目见另附《病理科申请与确认清单》）。</w:t>
      </w:r>
    </w:p>
    <w:p>
      <w:pPr>
        <w:pStyle w:val="ListNumber"/>
        <w:ind w:left="400"/>
      </w:pPr>
      <w:r>
        <w:t>病理申请单请注明：取活性组织、避开坏死区；报告注明肿瘤细胞含量（TC%）与坏死比例。</w:t>
      </w:r>
    </w:p>
    <w:p/>
    <w:p>
      <w:pPr>
        <w:pStyle w:val="Heading2"/>
      </w:pPr>
      <w:r>
        <w:t>五、既往资料（已带来，请一并过目）</w:t>
      </w:r>
    </w:p>
    <w:p/>
    <w:p>
      <w:pPr>
        <w:pStyle w:val="ListBullet"/>
        <w:ind w:left="400"/>
      </w:pPr>
      <w:r>
        <w:t>12 月手术记录复印件（2025-12-20 腹腔镜全子宫+双附件，术者杨亚/记录亦作杨娅；</w:t>
      </w:r>
      <w:r>
        <w:rPr>
          <w:b/>
        </w:rPr>
        <w:t>经阴道完整取出、瘤体包膜完整、术中冰冻 25289B 已报恶性</w:t>
      </w:r>
      <w:r>
        <w:t>）——</w:t>
      </w:r>
      <w:r>
        <w:rPr>
          <w:b/>
        </w:rPr>
        <w:t>缺的仅是盖章正式件与出院记录</w:t>
      </w:r>
      <w:r>
        <w:t xml:space="preserve">；12 月石蜡病理报告复印件（铜梁区中医院，病理号 </w:t>
      </w:r>
      <w:r>
        <w:rPr>
          <w:b/>
        </w:rPr>
        <w:t>255317</w:t>
      </w:r>
      <w:r>
        <w:t xml:space="preserve">，2025-12-29，含免疫组化 12 项，据 H26-09047 引用的原单位转录：ER（热点区约 70%，中等+）、PR（−）、CD10（部分+）、Vimentin（+）、p16（+）、SMA（散在灶性+）、Desmin（−）、CK-P（−）、HMB45（−）、CD117（−）、p53（−）、Ki-67（约 5%+））；贵院会诊报告 </w:t>
      </w:r>
      <w:r>
        <w:rPr>
          <w:b/>
        </w:rPr>
        <w:t>H26-09047</w:t>
      </w:r>
      <w:r>
        <w:t>（2026-09-11，重肿，已引用原单位IHC，倾向低级别）。</w:t>
      </w:r>
    </w:p>
    <w:p>
      <w:pPr>
        <w:pStyle w:val="ListBullet"/>
        <w:ind w:left="400"/>
      </w:pPr>
      <w:r>
        <w:t>原发灶与本次转移灶免疫表型有差异，恳请对照：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原发灶（255317，据 H26-09047 引用的原单位转录）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转移灶（26-25469：2026-09-18 左下腹取材，标本条码/报告单号 2926091512534942717，据报告原件转录，以 26-25469 原件为准，18 项；原件笔误 pCD10=CD10、16=p16，见免疫组化文件夹照片）</w:t>
            </w:r>
          </w:p>
        </w:tc>
      </w:tr>
      <w:tr>
        <w:tc>
          <w:tcPr>
            <w:tcW w:type="dxa" w:w="2880"/>
          </w:tcPr>
          <w:p>
            <w:r>
              <w:t>ER</w:t>
            </w:r>
          </w:p>
        </w:tc>
        <w:tc>
          <w:tcPr>
            <w:tcW w:type="dxa" w:w="2880"/>
          </w:tcPr>
          <w:p>
            <w:r>
              <w:t>热点区约 70%，中等+</w:t>
            </w:r>
          </w:p>
        </w:tc>
        <w:tc>
          <w:tcPr>
            <w:tcW w:type="dxa" w:w="2880"/>
          </w:tcPr>
          <w:p>
            <w:r>
              <w:t>−</w:t>
            </w:r>
          </w:p>
        </w:tc>
      </w:tr>
      <w:tr>
        <w:tc>
          <w:tcPr>
            <w:tcW w:type="dxa" w:w="2880"/>
          </w:tcPr>
          <w:p>
            <w:r>
              <w:t>PR</w:t>
            </w:r>
          </w:p>
        </w:tc>
        <w:tc>
          <w:tcPr>
            <w:tcW w:type="dxa" w:w="2880"/>
          </w:tcPr>
          <w:p>
            <w:r>
              <w:t>−</w:t>
            </w:r>
          </w:p>
        </w:tc>
        <w:tc>
          <w:tcPr>
            <w:tcW w:type="dxa" w:w="2880"/>
          </w:tcPr>
          <w:p>
            <w:r>
              <w:t>−</w:t>
            </w:r>
          </w:p>
        </w:tc>
      </w:tr>
      <w:tr>
        <w:tc>
          <w:tcPr>
            <w:tcW w:type="dxa" w:w="2880"/>
          </w:tcPr>
          <w:p>
            <w:r>
              <w:t>CD10</w:t>
            </w:r>
          </w:p>
        </w:tc>
        <w:tc>
          <w:tcPr>
            <w:tcW w:type="dxa" w:w="2880"/>
          </w:tcPr>
          <w:p>
            <w:r>
              <w:t>部分+</w:t>
            </w:r>
          </w:p>
        </w:tc>
        <w:tc>
          <w:tcPr>
            <w:tcW w:type="dxa" w:w="2880"/>
          </w:tcPr>
          <w:p>
            <w:r>
              <w:t>+</w:t>
            </w:r>
          </w:p>
        </w:tc>
      </w:tr>
      <w:tr>
        <w:tc>
          <w:tcPr>
            <w:tcW w:type="dxa" w:w="2880"/>
          </w:tcPr>
          <w:p>
            <w:r>
              <w:t>Vimentin</w:t>
            </w:r>
          </w:p>
        </w:tc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+</w:t>
            </w:r>
          </w:p>
        </w:tc>
      </w:tr>
      <w:tr>
        <w:tc>
          <w:tcPr>
            <w:tcW w:type="dxa" w:w="2880"/>
          </w:tcPr>
          <w:p>
            <w:r>
              <w:t>SMA</w:t>
            </w:r>
          </w:p>
        </w:tc>
        <w:tc>
          <w:tcPr>
            <w:tcW w:type="dxa" w:w="2880"/>
          </w:tcPr>
          <w:p>
            <w:r>
              <w:t>散在灶性+</w:t>
            </w:r>
          </w:p>
        </w:tc>
        <w:tc>
          <w:tcPr>
            <w:tcW w:type="dxa" w:w="2880"/>
          </w:tcPr>
          <w:p>
            <w:r>
              <w:t>部分+</w:t>
            </w:r>
          </w:p>
        </w:tc>
      </w:tr>
      <w:tr>
        <w:tc>
          <w:tcPr>
            <w:tcW w:type="dxa" w:w="2880"/>
          </w:tcPr>
          <w:p>
            <w:r>
              <w:t>Desmin</w:t>
            </w:r>
          </w:p>
        </w:tc>
        <w:tc>
          <w:tcPr>
            <w:tcW w:type="dxa" w:w="2880"/>
          </w:tcPr>
          <w:p>
            <w:r>
              <w:t>−</w:t>
            </w:r>
          </w:p>
        </w:tc>
        <w:tc>
          <w:tcPr>
            <w:tcW w:type="dxa" w:w="2880"/>
          </w:tcPr>
          <w:p>
            <w:r>
              <w:t>灶弱+</w:t>
            </w:r>
          </w:p>
        </w:tc>
      </w:tr>
      <w:tr>
        <w:tc>
          <w:tcPr>
            <w:tcW w:type="dxa" w:w="2880"/>
          </w:tcPr>
          <w:p>
            <w:r>
              <w:t>p16</w:t>
            </w:r>
          </w:p>
        </w:tc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+</w:t>
            </w:r>
          </w:p>
        </w:tc>
      </w:tr>
      <w:tr>
        <w:tc>
          <w:tcPr>
            <w:tcW w:type="dxa" w:w="2880"/>
          </w:tcPr>
          <w:p>
            <w:r>
              <w:t>CyclinD1</w:t>
            </w:r>
          </w:p>
        </w:tc>
        <w:tc>
          <w:tcPr>
            <w:tcW w:type="dxa" w:w="2880"/>
          </w:tcPr>
          <w:p>
            <w:r>
              <w:t>原单位未做</w:t>
            </w:r>
          </w:p>
        </w:tc>
        <w:tc>
          <w:tcPr>
            <w:tcW w:type="dxa" w:w="2880"/>
          </w:tcPr>
          <w:p>
            <w:r>
              <w:t>+</w:t>
            </w:r>
          </w:p>
        </w:tc>
      </w:tr>
      <w:tr>
        <w:tc>
          <w:tcPr>
            <w:tcW w:type="dxa" w:w="2880"/>
          </w:tcPr>
          <w:p>
            <w:r>
              <w:t>MDM2</w:t>
            </w:r>
          </w:p>
        </w:tc>
        <w:tc>
          <w:tcPr>
            <w:tcW w:type="dxa" w:w="2880"/>
          </w:tcPr>
          <w:p>
            <w:r>
              <w:t>原单位未做</w:t>
            </w:r>
          </w:p>
        </w:tc>
        <w:tc>
          <w:tcPr>
            <w:tcW w:type="dxa" w:w="2880"/>
          </w:tcPr>
          <w:p>
            <w:r>
              <w:t>+</w:t>
            </w:r>
          </w:p>
        </w:tc>
      </w:tr>
      <w:tr>
        <w:tc>
          <w:tcPr>
            <w:tcW w:type="dxa" w:w="2880"/>
          </w:tcPr>
          <w:p>
            <w:r>
              <w:t>CDK4</w:t>
            </w:r>
          </w:p>
        </w:tc>
        <w:tc>
          <w:tcPr>
            <w:tcW w:type="dxa" w:w="2880"/>
          </w:tcPr>
          <w:p>
            <w:r>
              <w:t>原单位未做</w:t>
            </w:r>
          </w:p>
        </w:tc>
        <w:tc>
          <w:tcPr>
            <w:tcW w:type="dxa" w:w="2880"/>
          </w:tcPr>
          <w:p>
            <w:r>
              <w:t>部分+</w:t>
            </w:r>
          </w:p>
        </w:tc>
      </w:tr>
      <w:tr>
        <w:tc>
          <w:tcPr>
            <w:tcW w:type="dxa" w:w="2880"/>
          </w:tcPr>
          <w:p>
            <w:r>
              <w:t>BCOR</w:t>
            </w:r>
          </w:p>
        </w:tc>
        <w:tc>
          <w:tcPr>
            <w:tcW w:type="dxa" w:w="2880"/>
          </w:tcPr>
          <w:p>
            <w:r>
              <w:t>原单位未做</w:t>
            </w:r>
          </w:p>
        </w:tc>
        <w:tc>
          <w:tcPr>
            <w:tcW w:type="dxa" w:w="2880"/>
          </w:tcPr>
          <w:p>
            <w:r>
              <w:t>−</w:t>
            </w:r>
          </w:p>
        </w:tc>
      </w:tr>
      <w:tr>
        <w:tc>
          <w:tcPr>
            <w:tcW w:type="dxa" w:w="2880"/>
          </w:tcPr>
          <w:p>
            <w:r>
              <w:t>Caldesmon</w:t>
            </w:r>
          </w:p>
        </w:tc>
        <w:tc>
          <w:tcPr>
            <w:tcW w:type="dxa" w:w="2880"/>
          </w:tcPr>
          <w:p>
            <w:r>
              <w:t>原单位未做</w:t>
            </w:r>
          </w:p>
        </w:tc>
        <w:tc>
          <w:tcPr>
            <w:tcW w:type="dxa" w:w="2880"/>
          </w:tcPr>
          <w:p>
            <w:r>
              <w:t>−</w:t>
            </w:r>
          </w:p>
        </w:tc>
      </w:tr>
      <w:tr>
        <w:tc>
          <w:tcPr>
            <w:tcW w:type="dxa" w:w="2880"/>
          </w:tcPr>
          <w:p>
            <w:r>
              <w:t>MyoD1</w:t>
            </w:r>
          </w:p>
        </w:tc>
        <w:tc>
          <w:tcPr>
            <w:tcW w:type="dxa" w:w="2880"/>
          </w:tcPr>
          <w:p>
            <w:r>
              <w:t>原单位未做</w:t>
            </w:r>
          </w:p>
        </w:tc>
        <w:tc>
          <w:tcPr>
            <w:tcW w:type="dxa" w:w="2880"/>
          </w:tcPr>
          <w:p>
            <w:r>
              <w:t>−</w:t>
            </w:r>
          </w:p>
        </w:tc>
      </w:tr>
      <w:tr>
        <w:tc>
          <w:tcPr>
            <w:tcW w:type="dxa" w:w="2880"/>
          </w:tcPr>
          <w:p>
            <w:r>
              <w:t>S100</w:t>
            </w:r>
          </w:p>
        </w:tc>
        <w:tc>
          <w:tcPr>
            <w:tcW w:type="dxa" w:w="2880"/>
          </w:tcPr>
          <w:p>
            <w:r>
              <w:t>原单位未做</w:t>
            </w:r>
          </w:p>
        </w:tc>
        <w:tc>
          <w:tcPr>
            <w:tcW w:type="dxa" w:w="2880"/>
          </w:tcPr>
          <w:p>
            <w:r>
              <w:t>−</w:t>
            </w:r>
          </w:p>
        </w:tc>
      </w:tr>
      <w:tr>
        <w:tc>
          <w:tcPr>
            <w:tcW w:type="dxa" w:w="2880"/>
          </w:tcPr>
          <w:p>
            <w:r>
              <w:t>CD34</w:t>
            </w:r>
          </w:p>
        </w:tc>
        <w:tc>
          <w:tcPr>
            <w:tcW w:type="dxa" w:w="2880"/>
          </w:tcPr>
          <w:p>
            <w:r>
              <w:t>原单位未做</w:t>
            </w:r>
          </w:p>
        </w:tc>
        <w:tc>
          <w:tcPr>
            <w:tcW w:type="dxa" w:w="2880"/>
          </w:tcPr>
          <w:p>
            <w:r>
              <w:t>−</w:t>
            </w:r>
          </w:p>
        </w:tc>
      </w:tr>
      <w:tr>
        <w:tc>
          <w:tcPr>
            <w:tcW w:type="dxa" w:w="2880"/>
          </w:tcPr>
          <w:p>
            <w:r>
              <w:t>INI-1</w:t>
            </w:r>
          </w:p>
        </w:tc>
        <w:tc>
          <w:tcPr>
            <w:tcW w:type="dxa" w:w="2880"/>
          </w:tcPr>
          <w:p>
            <w:r>
              <w:t>原单位未做</w:t>
            </w:r>
          </w:p>
        </w:tc>
        <w:tc>
          <w:tcPr>
            <w:tcW w:type="dxa" w:w="2880"/>
          </w:tcPr>
          <w:p>
            <w:r>
              <w:t>+</w:t>
            </w:r>
          </w:p>
        </w:tc>
      </w:tr>
      <w:tr>
        <w:tc>
          <w:tcPr>
            <w:tcW w:type="dxa" w:w="2880"/>
          </w:tcPr>
          <w:p>
            <w:r>
              <w:t>Calponin</w:t>
            </w:r>
          </w:p>
        </w:tc>
        <w:tc>
          <w:tcPr>
            <w:tcW w:type="dxa" w:w="2880"/>
          </w:tcPr>
          <w:p>
            <w:r>
              <w:t>原单位未做</w:t>
            </w:r>
          </w:p>
        </w:tc>
        <w:tc>
          <w:tcPr>
            <w:tcW w:type="dxa" w:w="2880"/>
          </w:tcPr>
          <w:p>
            <w:r>
              <w:t>灶弱+</w:t>
            </w:r>
          </w:p>
        </w:tc>
      </w:tr>
      <w:tr>
        <w:tc>
          <w:tcPr>
            <w:tcW w:type="dxa" w:w="2880"/>
          </w:tcPr>
          <w:p>
            <w:r>
              <w:t>CK-P</w:t>
            </w:r>
          </w:p>
        </w:tc>
        <w:tc>
          <w:tcPr>
            <w:tcW w:type="dxa" w:w="2880"/>
          </w:tcPr>
          <w:p>
            <w:r>
              <w:t>−</w:t>
            </w:r>
          </w:p>
        </w:tc>
        <w:tc>
          <w:tcPr>
            <w:tcW w:type="dxa" w:w="2880"/>
          </w:tcPr>
          <w:p>
            <w:r>
              <w:t>未检测</w:t>
            </w:r>
          </w:p>
        </w:tc>
      </w:tr>
      <w:tr>
        <w:tc>
          <w:tcPr>
            <w:tcW w:type="dxa" w:w="2880"/>
          </w:tcPr>
          <w:p>
            <w:r>
              <w:t>HMB45</w:t>
            </w:r>
          </w:p>
        </w:tc>
        <w:tc>
          <w:tcPr>
            <w:tcW w:type="dxa" w:w="2880"/>
          </w:tcPr>
          <w:p>
            <w:r>
              <w:t>−</w:t>
            </w:r>
          </w:p>
        </w:tc>
        <w:tc>
          <w:tcPr>
            <w:tcW w:type="dxa" w:w="2880"/>
          </w:tcPr>
          <w:p>
            <w:r>
              <w:t>未检测</w:t>
            </w:r>
          </w:p>
        </w:tc>
      </w:tr>
      <w:tr>
        <w:tc>
          <w:tcPr>
            <w:tcW w:type="dxa" w:w="2880"/>
          </w:tcPr>
          <w:p>
            <w:r>
              <w:t>CD117</w:t>
            </w:r>
          </w:p>
        </w:tc>
        <w:tc>
          <w:tcPr>
            <w:tcW w:type="dxa" w:w="2880"/>
          </w:tcPr>
          <w:p>
            <w:r>
              <w:t>−</w:t>
            </w:r>
          </w:p>
        </w:tc>
        <w:tc>
          <w:tcPr>
            <w:tcW w:type="dxa" w:w="2880"/>
          </w:tcPr>
          <w:p>
            <w:r>
              <w:t>未检测</w:t>
            </w:r>
          </w:p>
        </w:tc>
      </w:tr>
      <w:tr>
        <w:tc>
          <w:tcPr>
            <w:tcW w:type="dxa" w:w="2880"/>
          </w:tcPr>
          <w:p>
            <w:r>
              <w:t>p53</w:t>
            </w:r>
          </w:p>
        </w:tc>
        <w:tc>
          <w:tcPr>
            <w:tcW w:type="dxa" w:w="2880"/>
          </w:tcPr>
          <w:p>
            <w:r>
              <w:t>−</w:t>
            </w:r>
          </w:p>
        </w:tc>
        <w:tc>
          <w:tcPr>
            <w:tcW w:type="dxa" w:w="2880"/>
          </w:tcPr>
          <w:p>
            <w:r>
              <w:t>未检测</w:t>
            </w:r>
          </w:p>
        </w:tc>
      </w:tr>
      <w:tr>
        <w:tc>
          <w:tcPr>
            <w:tcW w:type="dxa" w:w="2880"/>
          </w:tcPr>
          <w:p>
            <w:r>
              <w:t>Ki-67</w:t>
            </w:r>
          </w:p>
        </w:tc>
        <w:tc>
          <w:tcPr>
            <w:tcW w:type="dxa" w:w="2880"/>
          </w:tcPr>
          <w:p>
            <w:r>
              <w:t>约 5%+</w:t>
            </w:r>
          </w:p>
        </w:tc>
        <w:tc>
          <w:tcPr>
            <w:tcW w:type="dxa" w:w="2880"/>
          </w:tcPr>
          <w:p>
            <w:r>
              <w:t>+，热点区约 20%</w:t>
            </w:r>
          </w:p>
        </w:tc>
      </w:tr>
    </w:tbl>
    <w:p/>
    <w:p/>
    <w:p>
      <w:pPr>
        <w:pStyle w:val="ListBullet"/>
        <w:ind w:left="400"/>
      </w:pPr>
      <w:r>
        <w:t>转移灶报告（26-25469）诊断原文：（左下腹）转移性子宫内膜间质肉瘤，形态“</w:t>
      </w:r>
      <w:r>
        <w:rPr>
          <w:b/>
        </w:rPr>
        <w:t>似低级别</w:t>
      </w:r>
      <w:r>
        <w:t>”，报告建议分子检测协诊。</w:t>
      </w:r>
    </w:p>
    <w:p>
      <w:pPr>
        <w:pStyle w:val="ListBullet"/>
        <w:ind w:left="400"/>
      </w:pPr>
      <w:r>
        <w:t xml:space="preserve">已带齐：12 月手术记录复印件 + 255317 复印件 + H26-09047 复印件 + 9-18 左下腹转移灶穿刺病理报告复印件（蜡块在重肿：病理号 </w:t>
      </w:r>
      <w:r>
        <w:rPr>
          <w:b/>
        </w:rPr>
        <w:t>26-25469</w:t>
      </w:r>
      <w:r>
        <w:t xml:space="preserve">，2026-09-18 取材，标本条码 </w:t>
      </w:r>
      <w:r>
        <w:rPr>
          <w:b/>
        </w:rPr>
        <w:t>2926091512534942717</w:t>
      </w:r>
      <w:r>
        <w:t>；IHC 以 26-25469 报告原件为准）。如需盖章正式件或切片复核，我们再去铜梁取。</w:t>
      </w:r>
    </w:p>
    <w:p/>
    <w:p>
      <w:pPr>
        <w:pStyle w:val="Heading2"/>
      </w:pPr>
      <w:r>
        <w:t>六、术后衔接</w:t>
      </w:r>
    </w:p>
    <w:p/>
    <w:p>
      <w:pPr>
        <w:pStyle w:val="ListNumber"/>
        <w:ind w:left="400"/>
      </w:pPr>
      <w:r>
        <w:t>术后病理大概几天出？出来后会安排化疗或 MDT 吗？时间线大概怎样（术后 4–6 周＝10/20–11/3）？</w:t>
      </w:r>
    </w:p>
    <w:p>
      <w:pPr>
        <w:pStyle w:val="ListNumber"/>
        <w:ind w:left="400"/>
      </w:pPr>
      <w:r>
        <w:t>出报告当天能否挂您的号、或直接排 MDT？预约单我们现在就办。</w:t>
      </w:r>
    </w:p>
    <w:p>
      <w:pPr>
        <w:pStyle w:val="ListNumber"/>
        <w:ind w:left="400"/>
      </w:pPr>
      <w:r>
        <w:t>她 2019 年已切除右下肺叶，有高血压（病历未载药名剂量，家属已核药盒，见卡B），前白蛋白134（低）、血钾3.36（低）、D-二聚体2.22↑——术后要不要进观察室/ICU？第一晚需要人陪吗？</w:t>
      </w:r>
    </w:p>
    <w:p/>
    <w:p>
      <w:r>
        <w:t>以上为家属整理的请教与请求，最终以医生判断为准。</w:t>
      </w:r>
    </w:p>
    <w:p/>
    <w:p>
      <w:r>
        <w:t>家属：</w:t>
      </w:r>
      <w:r>
        <w:rPr>
          <w:b/>
        </w:rPr>
        <w:t>周智勇（配偶）</w:t>
      </w:r>
      <w:r>
        <w:t xml:space="preserve">　　电话：</w:t>
      </w:r>
      <w:r>
        <w:rPr>
          <w:b/>
        </w:rPr>
        <w:t>13883251399</w:t>
      </w:r>
      <w:r>
        <w:t xml:space="preserve">　　与患者关系：配偶　　住址：重庆市铜梁区南城街道尚风名居6栋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