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卡 J · MDT 带话纸 · 家属自留说明　⭐⭐</w:t>
      </w:r>
    </w:p>
    <w:p/>
    <w:p>
      <w:pPr>
        <w:ind w:left="400"/>
      </w:pPr>
      <w:r>
        <w:rPr>
          <w:b/>
          <w:i/>
        </w:rPr>
        <w:t>递交的那一页在这里</w:t>
      </w:r>
      <w:r>
        <w:rPr>
          <w:i/>
        </w:rPr>
        <w:t>：../递交版/卡J-MDT带话纸.md (../递交版/卡J-MDT带话纸.md)——</w:t>
      </w:r>
      <w:r>
        <w:rPr>
          <w:b/>
          <w:i/>
        </w:rPr>
        <w:t>打印 3 份</w:t>
      </w:r>
      <w:r>
        <w:rPr>
          <w:i/>
        </w:rPr>
        <w:t>（主治、MDT、自留），周一早查房递给管床医生（卡 C ②），门口再递一份给主治（卡 D ③）。</w:t>
        <w:br/>
        <w:t>本页</w:t>
      </w:r>
      <w:r>
        <w:rPr>
          <w:b/>
          <w:i/>
        </w:rPr>
        <w:t>不要打印给医生</w:t>
      </w:r>
      <w:r>
        <w:rPr>
          <w:i/>
        </w:rPr>
        <w:t>。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递交版 7 条各自在做什么（家属自看）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本次改了什么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短复发间隔 ＋ ER 丢失 ＋ Ki-67 升高 → 有残留按转移性尽早一线；切净按 ESGO/EURACAN 2024 讨论蒽环辅助化疗（法国肉瘤组 39 例多因素分析、化疗亚组 n=11、中位随访 33 个月、中位 41.0 vs 10.3 个月、P=0.034；NCDB 1383 例方向一致）</w:t>
            </w:r>
          </w:p>
        </w:tc>
        <w:tc>
          <w:tcPr>
            <w:tcW w:type="dxa" w:w="2880"/>
          </w:tcPr>
          <w:p>
            <w:r>
              <w:t>➕ 数据后主动加 caveat（回顾性、非随机、样本量小，前瞻证据尚缺；v2 补全化疗亚组 n=11、中位随访 33 个月，指南措辞"应予考虑"）；➕ 末尾加"若为低级别 / ER 保留，也请讨论内分泌治疗路径（AI / 孕激素 → 氟维司群）"⭐⭐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12 月手术信息</w:t>
            </w:r>
          </w:p>
        </w:tc>
        <w:tc>
          <w:tcPr>
            <w:tcW w:type="dxa" w:w="2880"/>
          </w:tcPr>
          <w:p>
            <w:r>
              <w:t>➕ 编号写全：住院号 457107；冰冻号 25289B；石蜡病理号 255317（2025-12-29，含 IHC 12 张）；术者杨亚 / 杨娅。⚠️ 合并时按附录 1 第 1 条把"建议调阅"改为"复印件已随附，H26-09047 已引用原单位 IHC"。v2：卡 J 抬头预填重肿住院号 2156622001 / 妇科肿瘤中心三病区 / 外8楼-3床（如变动以腕带为准）；第 2 条补"12 月手术记录复印件已备（经阴道完整取出、瘤体包膜完整、术中冰冻 25289B 已报恶性）——缺的仅是盖章正式件与出院记录"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含安罗替尼的组合（NRDL 肉瘤适应症）</w:t>
            </w:r>
          </w:p>
        </w:tc>
        <w:tc>
          <w:tcPr>
            <w:tcW w:type="dxa" w:w="2880"/>
          </w:tcPr>
          <w:p>
            <w:r>
              <w:t>➕ v2 改为解剖学具体风险（非泛化警告）："骶前 5.5×6.1cm 病灶与直肠上段、乙状结肠分界不清——安罗替尼等抗血管药有胃肠穿孔/瘘风险，请 MDT 先评估肠管安全性"⭐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PD-1 时机等 MMR / MSI / TMB / MDM2</w:t>
            </w:r>
          </w:p>
        </w:tc>
        <w:tc>
          <w:tcPr>
            <w:tcW w:type="dxa" w:w="2880"/>
          </w:tcPr>
          <w:p>
            <w:r>
              <w:t>➕ 后补"若 dMMR / MSI-H，免疫治疗是可讨论路径（泛癌种适应症），请单独评估"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基因检测报告（≤9/24 送样，按机构承诺周期预计 10 月中前后）出来后申请再次上 MDT</w:t>
            </w:r>
          </w:p>
        </w:tc>
        <w:tc>
          <w:tcPr>
            <w:tcW w:type="dxa" w:w="2880"/>
          </w:tcPr>
          <w:p>
            <w:r>
              <w:t>v2：报告预期由“10 月初”对齐到“10 月中前后”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新增 ⭐⭐：把"术后 4–6 周内启动全身治疗"写进病程记录与出院小结；报告回来前先定启动原则、预留床位</w:t>
            </w:r>
          </w:p>
        </w:tc>
        <w:tc>
          <w:tcPr>
            <w:tcW w:type="dxa" w:w="2880"/>
          </w:tcPr>
          <w:p>
            <w:r>
              <w:t>➕ 新增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新增 ⭐：自费加做 HER2 / CD3 / CD8 / MAGE-A4 与 NGS，报告回来当天交主治，申请再上 MDT</w:t>
            </w:r>
          </w:p>
        </w:tc>
        <w:tc>
          <w:tcPr>
            <w:tcW w:type="dxa" w:w="2880"/>
          </w:tcPr>
          <w:p>
            <w:r>
              <w:t>➕ 新增</w:t>
            </w:r>
          </w:p>
        </w:tc>
      </w:tr>
      <w:tr>
        <w:tc>
          <w:tcPr>
            <w:tcW w:type="dxa" w:w="2880"/>
          </w:tcPr>
          <w:p>
            <w:r>
              <w:t>落款</w:t>
            </w:r>
          </w:p>
        </w:tc>
        <w:tc>
          <w:tcPr>
            <w:tcW w:type="dxa" w:w="2880"/>
          </w:tcPr>
          <w:p>
            <w:r>
              <w:t>家属签名 ＋ 电话 ＋ 床号</w:t>
            </w:r>
          </w:p>
        </w:tc>
        <w:tc>
          <w:tcPr>
            <w:tcW w:type="dxa" w:w="2880"/>
          </w:tcPr>
          <w:p>
            <w:r>
              <w:t>➕ 方便主治回话</w:t>
            </w:r>
          </w:p>
        </w:tc>
      </w:tr>
    </w:tbl>
    <w:p/>
    <w:p/>
    <w:p>
      <w:pPr>
        <w:pStyle w:val="Heading2"/>
      </w:pPr>
      <w:r>
        <w:t>为什么这样写</w:t>
      </w:r>
    </w:p>
    <w:p/>
    <w:p>
      <w:pPr>
        <w:pStyle w:val="ListBullet"/>
        <w:ind w:left="400"/>
      </w:pPr>
      <w:r>
        <w:t>【因】第 1 条：只喊化疗，容易让 MDT 以为家属在替医生定方案；把内分泌摆上桌，反而更符合 ESGO 对 LG-ESS 的常规路径。</w:t>
      </w:r>
    </w:p>
    <w:p>
      <w:pPr>
        <w:pStyle w:val="ListBullet"/>
        <w:ind w:left="400"/>
      </w:pPr>
      <w:r>
        <w:t>【因】caveat：主动说出局限，比被专家指出更可信。</w:t>
      </w:r>
    </w:p>
    <w:p>
      <w:pPr>
        <w:pStyle w:val="ListBullet"/>
        <w:ind w:left="400"/>
      </w:pPr>
      <w:r>
        <w:t>【因】第 2 条：写编号，病案室和病理科一分钟就能调出来。</w:t>
      </w:r>
    </w:p>
    <w:p>
      <w:pPr>
        <w:pStyle w:val="ListBullet"/>
        <w:ind w:left="400"/>
      </w:pPr>
      <w:r>
        <w:t>【因】第 3 条：主动把风险说出来，比等医生反驳更有说服力，也保护患者。</w:t>
      </w:r>
    </w:p>
    <w:p>
      <w:pPr>
        <w:pStyle w:val="ListBullet"/>
        <w:ind w:left="400"/>
      </w:pPr>
      <w:r>
        <w:t>【因】第 6 条：不要把启动系在报告上——报告若滑到 10 月中下旬，正好压住 10/20–11/3 窗口。</w:t>
      </w:r>
    </w:p>
    <w:p/>
    <w:p>
      <w:pPr>
        <w:pStyle w:val="Heading2"/>
      </w:pPr>
      <w:r>
        <w:t>引用顺序与被质疑时（附录 1 第 6 条）</w:t>
      </w:r>
    </w:p>
    <w:p/>
    <w:p>
      <w:r>
        <w:rPr>
          <w:b/>
        </w:rPr>
        <w:t>先给请求 → 再给数据 → 最后主动说局限</w:t>
      </w:r>
      <w:r>
        <w:t>（"回顾性、39 例、非随机"）。</w:t>
      </w:r>
    </w:p>
    <w:p/>
    <w:p>
      <w:r>
        <w:t>若被质疑，钥匙句：「我可能理解得不准确，</w:t>
      </w:r>
      <w:r>
        <w:rPr>
          <w:b/>
        </w:rPr>
        <w:t>以 MDT 的判断为准</w:t>
      </w:r>
      <w:r>
        <w:t>；我们的请求只是'请讨论'。」（呼应"不当场争"。）</w:t>
      </w:r>
    </w:p>
    <w:p/>
    <w:p>
      <w:pPr>
        <w:pStyle w:val="Heading2"/>
      </w:pPr>
      <w:r>
        <w:t>随附材料清单（递给管床医生时一起夹上）</w:t>
      </w:r>
    </w:p>
    <w:p/>
    <w:p>
      <w:pPr>
        <w:pStyle w:val="ListBullet"/>
        <w:ind w:left="400"/>
      </w:pPr>
      <w:r>
        <w:t>[ ] 12 月手术记录复印件</w:t>
      </w:r>
    </w:p>
    <w:p>
      <w:pPr>
        <w:pStyle w:val="ListBullet"/>
        <w:ind w:left="400"/>
      </w:pPr>
      <w:r>
        <w:t>[ ] 石蜡病理报告 255317 复印件（含 IHC 12 项）</w:t>
      </w:r>
    </w:p>
    <w:p>
      <w:pPr>
        <w:pStyle w:val="ListBullet"/>
        <w:ind w:left="400"/>
      </w:pPr>
      <w:r>
        <w:t>[ ] 重肿会诊报告 H26-09047 复印件</w:t>
      </w:r>
    </w:p>
    <w:p>
      <w:pPr>
        <w:pStyle w:val="ListBullet"/>
        <w:ind w:left="400"/>
      </w:pPr>
      <w:r>
        <w:t>[ ] 9-18 穿刺病理报告复印件（26-25469，原文含"建议分子检测协诊"）</w:t>
      </w:r>
    </w:p>
    <w:p/>
    <w:p>
      <w:r>
        <w:t>【源】ESGO / EURACAN 2024；法国肉瘤组回顾数据；NCDB；诊疗方案-2026-09-11.md (../../诊疗方案-2026-09-11.md)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