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</w:rPr>
        <w:t>项目/需求编号：</w:t>
      </w:r>
      <w:r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</w:rPr>
        <w:t xml:space="preserve">         名称：</w:t>
      </w:r>
      <w:r>
        <w:rPr>
          <w:rFonts w:hint="eastAsia"/>
          <w:u w:val="single"/>
        </w:rPr>
        <w:t xml:space="preserve">                </w:t>
      </w:r>
    </w:p>
    <w:p/>
    <w:p>
      <w:pPr>
        <w:rPr>
          <w:b/>
          <w:sz w:val="18"/>
        </w:rPr>
      </w:pPr>
      <w:r>
        <w:rPr>
          <w:rFonts w:hint="eastAsia"/>
          <w:b/>
          <w:sz w:val="18"/>
          <w:highlight w:val="yellow"/>
        </w:rPr>
        <w:t>注意：如果系统变更的需求中有向用户发送邮件</w:t>
      </w:r>
      <w:r>
        <w:rPr>
          <w:b/>
          <w:sz w:val="18"/>
          <w:highlight w:val="yellow"/>
        </w:rPr>
        <w:t>/</w:t>
      </w:r>
      <w:r>
        <w:rPr>
          <w:rFonts w:hint="eastAsia"/>
          <w:b/>
          <w:sz w:val="18"/>
          <w:highlight w:val="yellow"/>
        </w:rPr>
        <w:t>短信的功能，该类功能开发必须符合下面要求：</w:t>
      </w:r>
    </w:p>
    <w:p>
      <w:pPr>
        <w:ind w:firstLine="400" w:firstLineChars="200"/>
        <w:rPr>
          <w:rFonts w:ascii="宋体" w:eastAsia="宋体" w:cs="宋体"/>
          <w:bCs/>
          <w:color w:val="000000"/>
          <w:kern w:val="0"/>
          <w:sz w:val="20"/>
        </w:rPr>
      </w:pPr>
      <w:r>
        <w:rPr>
          <w:rFonts w:hint="eastAsia" w:ascii="宋体" w:eastAsia="宋体" w:cs="宋体"/>
          <w:bCs/>
          <w:color w:val="000000"/>
          <w:kern w:val="0"/>
          <w:sz w:val="20"/>
        </w:rPr>
        <w:t>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hint="eastAsia" w:ascii="宋体" w:eastAsia="宋体" w:cs="宋体"/>
          <w:bCs/>
          <w:color w:val="000000"/>
          <w:kern w:val="0"/>
          <w:sz w:val="20"/>
        </w:rPr>
        <w:t>邮件发送功能中，接收短信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hint="eastAsia" w:ascii="宋体" w:eastAsia="宋体" w:cs="宋体"/>
          <w:bCs/>
          <w:color w:val="000000"/>
          <w:kern w:val="0"/>
          <w:sz w:val="20"/>
        </w:rPr>
        <w:t>邮件的用户，必须与应用系统账号状态进行关联。通过接入门户</w:t>
      </w:r>
      <w:r>
        <w:rPr>
          <w:rFonts w:ascii="宋体" w:eastAsia="宋体" w:cs="宋体"/>
          <w:bCs/>
          <w:color w:val="000000"/>
          <w:kern w:val="0"/>
          <w:sz w:val="20"/>
        </w:rPr>
        <w:t>IDM</w:t>
      </w:r>
      <w:r>
        <w:rPr>
          <w:rFonts w:hint="eastAsia" w:ascii="宋体" w:eastAsia="宋体" w:cs="宋体"/>
          <w:bCs/>
          <w:color w:val="000000"/>
          <w:kern w:val="0"/>
          <w:sz w:val="20"/>
        </w:rPr>
        <w:t>等方式进行离职/不在岗和转岗管控，即用户离职/不在岗或者换岗后，应及时禁用应用系统账号，取消向该用户发送邮件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hint="eastAsia" w:ascii="宋体" w:eastAsia="宋体" w:cs="宋体"/>
          <w:bCs/>
          <w:color w:val="000000"/>
          <w:kern w:val="0"/>
          <w:sz w:val="20"/>
        </w:rPr>
        <w:t>短信。参见《信息系统用户权限管理规范</w:t>
      </w:r>
      <w:r>
        <w:rPr>
          <w:rFonts w:ascii="宋体" w:eastAsia="宋体" w:cs="宋体"/>
          <w:bCs/>
          <w:color w:val="000000"/>
          <w:kern w:val="0"/>
          <w:sz w:val="20"/>
        </w:rPr>
        <w:t>-</w:t>
      </w:r>
      <w:r>
        <w:rPr>
          <w:rFonts w:hint="eastAsia" w:ascii="宋体" w:eastAsia="宋体" w:cs="宋体"/>
          <w:bCs/>
          <w:color w:val="000000"/>
          <w:kern w:val="0"/>
          <w:sz w:val="20"/>
        </w:rPr>
        <w:t>运维规范》（体系文件编号：360808）。</w:t>
      </w:r>
    </w:p>
    <w:p>
      <w:pPr>
        <w:ind w:firstLine="400" w:firstLineChars="200"/>
        <w:rPr>
          <w:rFonts w:ascii="宋体" w:eastAsia="宋体" w:cs="宋体"/>
          <w:bCs/>
          <w:color w:val="000000"/>
          <w:kern w:val="0"/>
          <w:sz w:val="20"/>
        </w:rPr>
      </w:pPr>
      <w:r>
        <w:rPr>
          <w:rFonts w:hint="eastAsia" w:ascii="宋体" w:eastAsia="宋体" w:cs="宋体"/>
          <w:bCs/>
          <w:color w:val="000000"/>
          <w:kern w:val="0"/>
          <w:sz w:val="20"/>
        </w:rPr>
        <w:t>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hint="eastAsia" w:ascii="宋体" w:eastAsia="宋体" w:cs="宋体"/>
          <w:bCs/>
          <w:color w:val="000000"/>
          <w:kern w:val="0"/>
          <w:sz w:val="20"/>
        </w:rPr>
        <w:t>邮件发送功能详细解释请联系权限组，电话</w:t>
      </w:r>
      <w:r>
        <w:rPr>
          <w:rFonts w:ascii="宋体" w:eastAsia="宋体" w:cs="宋体"/>
          <w:bCs/>
          <w:color w:val="000000"/>
          <w:kern w:val="0"/>
          <w:sz w:val="20"/>
        </w:rPr>
        <w:t>88932016</w:t>
      </w:r>
      <w:r>
        <w:rPr>
          <w:rFonts w:hint="eastAsia" w:ascii="宋体" w:eastAsia="宋体" w:cs="宋体"/>
          <w:bCs/>
          <w:color w:val="000000"/>
          <w:kern w:val="0"/>
          <w:sz w:val="20"/>
        </w:rPr>
        <w:t>。</w:t>
      </w:r>
    </w:p>
    <w:p>
      <w:pPr>
        <w:pStyle w:val="2"/>
        <w:numPr>
          <w:ilvl w:val="0"/>
          <w:numId w:val="2"/>
        </w:numPr>
        <w:spacing w:before="360" w:after="240" w:line="240" w:lineRule="auto"/>
        <w:ind w:left="361" w:hanging="360" w:hangingChars="150"/>
        <w:rPr>
          <w:sz w:val="28"/>
        </w:rPr>
      </w:pPr>
      <w:r>
        <w:rPr>
          <w:rFonts w:hint="eastAsia"/>
          <w:sz w:val="24"/>
        </w:rPr>
        <w:t>需求分类标准（按需求影响范围</w:t>
      </w:r>
      <w:r>
        <w:rPr>
          <w:rFonts w:hint="eastAsia"/>
          <w:sz w:val="28"/>
        </w:rPr>
        <w:t>）</w:t>
      </w:r>
    </w:p>
    <w:tbl>
      <w:tblPr>
        <w:tblStyle w:val="14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1937"/>
        <w:gridCol w:w="2705"/>
        <w:gridCol w:w="2268"/>
      </w:tblGrid>
      <w:tr>
        <w:trPr>
          <w:cantSplit/>
          <w:trHeight w:val="283" w:hRule="atLeast"/>
          <w:tblHeader/>
        </w:trPr>
        <w:tc>
          <w:tcPr>
            <w:tcW w:w="2660" w:type="dxa"/>
            <w:tcBorders>
              <w:top w:val="single" w:color="3333CC" w:sz="8" w:space="0"/>
              <w:left w:val="single" w:color="3333CC" w:sz="8" w:space="0"/>
              <w:bottom w:val="single" w:color="3333CC" w:sz="1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color="3333CC" w:sz="8" w:space="0"/>
              <w:left w:val="single" w:color="3333CC" w:sz="8" w:space="0"/>
              <w:bottom w:val="single" w:color="3333CC" w:sz="1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color="3333CC" w:sz="8" w:space="0"/>
              <w:left w:val="single" w:color="3333CC" w:sz="8" w:space="0"/>
              <w:bottom w:val="single" w:color="3333CC" w:sz="1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color="3333CC" w:sz="8" w:space="0"/>
              <w:left w:val="single" w:color="3333CC" w:sz="8" w:space="0"/>
              <w:bottom w:val="single" w:color="3333CC" w:sz="1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>
        <w:trPr>
          <w:cantSplit/>
          <w:trHeight w:val="283" w:hRule="atLeast"/>
        </w:trPr>
        <w:tc>
          <w:tcPr>
            <w:tcW w:w="2660" w:type="dxa"/>
            <w:tcBorders>
              <w:top w:val="single" w:color="3333CC" w:sz="1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color="3333CC" w:sz="1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color="3333CC" w:sz="1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color="3333CC" w:sz="1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多个相关系统或应用</w:t>
            </w:r>
          </w:p>
        </w:tc>
      </w:tr>
      <w:tr>
        <w:trPr>
          <w:cantSplit/>
          <w:trHeight w:val="283" w:hRule="atLeast"/>
        </w:trPr>
        <w:tc>
          <w:tcPr>
            <w:tcW w:w="2660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很难或不可能回退</w:t>
            </w:r>
          </w:p>
        </w:tc>
      </w:tr>
      <w:tr>
        <w:trPr>
          <w:cantSplit/>
          <w:trHeight w:val="283" w:hRule="atLeast"/>
        </w:trPr>
        <w:tc>
          <w:tcPr>
            <w:tcW w:w="2660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对业务有重大影响</w:t>
            </w:r>
          </w:p>
        </w:tc>
      </w:tr>
      <w:tr>
        <w:trPr>
          <w:cantSplit/>
          <w:trHeight w:val="283" w:hRule="atLeast"/>
        </w:trPr>
        <w:tc>
          <w:tcPr>
            <w:tcW w:w="2660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color="3333CC" w:sz="8" w:space="0"/>
              <w:left w:val="single" w:color="3333CC" w:sz="8" w:space="0"/>
              <w:bottom w:val="single" w:color="3333CC" w:sz="8" w:space="0"/>
              <w:right w:val="single" w:color="3333CC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3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难，新技术，无经验</w:t>
            </w:r>
          </w:p>
        </w:tc>
      </w:tr>
    </w:tbl>
    <w:p/>
    <w:p>
      <w:pPr>
        <w:pStyle w:val="2"/>
        <w:numPr>
          <w:ilvl w:val="0"/>
          <w:numId w:val="2"/>
        </w:numPr>
        <w:spacing w:before="360" w:after="240" w:line="240" w:lineRule="auto"/>
        <w:ind w:left="361" w:hanging="360" w:hangingChars="150"/>
        <w:rPr>
          <w:sz w:val="24"/>
        </w:rPr>
      </w:pPr>
      <w:r>
        <w:rPr>
          <w:rFonts w:hint="eastAsia"/>
          <w:sz w:val="24"/>
        </w:rPr>
        <w:t>解决方案</w:t>
      </w:r>
    </w:p>
    <w:p>
      <w:pPr>
        <w:pStyle w:val="3"/>
        <w:numPr>
          <w:ilvl w:val="1"/>
          <w:numId w:val="2"/>
        </w:numPr>
        <w:spacing w:before="240" w:after="120" w:line="240" w:lineRule="auto"/>
        <w:ind w:left="527" w:hanging="526" w:hangingChars="250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解决方案涉及系统和模块</w:t>
      </w:r>
    </w:p>
    <w:p>
      <w:r>
        <w:rPr>
          <w:rFonts w:hint="eastAsia"/>
        </w:rPr>
        <w:t xml:space="preserve">     Hrois系统  订单模块、基础数据模块、备件模块</w:t>
      </w:r>
    </w:p>
    <w:p>
      <w:pPr>
        <w:pStyle w:val="3"/>
        <w:numPr>
          <w:ilvl w:val="1"/>
          <w:numId w:val="2"/>
        </w:numPr>
        <w:spacing w:before="240" w:after="120" w:line="240" w:lineRule="auto"/>
        <w:ind w:left="527" w:hanging="526" w:hangingChars="250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解决方案详细描述</w:t>
      </w:r>
    </w:p>
    <w:p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  <w:lang w:val="en-US" w:eastAsia="zh-Hans"/>
        </w:rPr>
        <w:t>添加航线信息以及中标船公司配比</w:t>
      </w:r>
    </w:p>
    <w:p>
      <w:pPr>
        <w:pStyle w:val="3"/>
        <w:numPr>
          <w:ilvl w:val="1"/>
          <w:numId w:val="2"/>
        </w:numPr>
        <w:spacing w:before="240" w:after="120" w:line="240" w:lineRule="auto"/>
        <w:ind w:left="527" w:hanging="526" w:hangingChars="250"/>
        <w:rPr>
          <w:sz w:val="21"/>
          <w:szCs w:val="21"/>
        </w:rPr>
      </w:pPr>
      <w:r>
        <w:rPr>
          <w:rFonts w:hint="eastAsia"/>
          <w:sz w:val="21"/>
          <w:szCs w:val="21"/>
        </w:rPr>
        <w:t>涉及系统和模块的变更点</w:t>
      </w:r>
    </w:p>
    <w:tbl>
      <w:tblPr>
        <w:tblStyle w:val="15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276"/>
        <w:gridCol w:w="1134"/>
        <w:gridCol w:w="992"/>
        <w:gridCol w:w="1754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系统&amp;模块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变更前逻辑</w:t>
            </w:r>
          </w:p>
        </w:tc>
        <w:tc>
          <w:tcPr>
            <w:tcW w:w="175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变更后逻辑</w:t>
            </w:r>
          </w:p>
        </w:tc>
      </w:tr>
      <w:tr>
        <w:trPr>
          <w:trHeight w:val="429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开发新接口</w:t>
            </w:r>
          </w:p>
        </w:tc>
        <w:tc>
          <w:tcPr>
            <w:tcW w:w="1276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接口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新增</w:t>
            </w:r>
          </w:p>
          <w:p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>
            <w:pPr>
              <w:rPr>
                <w:rFonts w:hint="eastAsia" w:eastAsiaTheme="minorEastAsia"/>
                <w:szCs w:val="24"/>
                <w:lang w:eastAsia="zh-Hans"/>
              </w:rPr>
            </w:pPr>
            <w:r>
              <w:rPr>
                <w:rFonts w:hint="eastAsia"/>
                <w:szCs w:val="24"/>
                <w:lang w:val="en-US" w:eastAsia="zh-Hans"/>
              </w:rPr>
              <w:t>增加航线信息接口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6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开发新接口</w:t>
            </w:r>
          </w:p>
        </w:tc>
        <w:tc>
          <w:tcPr>
            <w:tcW w:w="1276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接口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新增</w:t>
            </w:r>
          </w:p>
          <w:p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>
            <w:pPr>
              <w:rPr>
                <w:rFonts w:hint="eastAsia" w:eastAsiaTheme="minorEastAsia"/>
                <w:szCs w:val="24"/>
                <w:lang w:eastAsia="zh-Hans"/>
              </w:rPr>
            </w:pPr>
            <w:r>
              <w:rPr>
                <w:rFonts w:hint="eastAsia"/>
                <w:szCs w:val="24"/>
                <w:lang w:val="en-US" w:eastAsia="zh-Hans"/>
              </w:rPr>
              <w:t>增加中标公司配比接口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2"/>
        </w:numPr>
        <w:spacing w:before="360" w:after="240" w:line="240" w:lineRule="auto"/>
        <w:ind w:left="361" w:hanging="360" w:hangingChars="150"/>
        <w:rPr>
          <w:sz w:val="24"/>
        </w:rPr>
      </w:pPr>
      <w:r>
        <w:rPr>
          <w:rFonts w:hint="eastAsia"/>
          <w:sz w:val="24"/>
        </w:rPr>
        <w:t>测试场景</w:t>
      </w:r>
    </w:p>
    <w:tbl>
      <w:tblPr>
        <w:tblStyle w:val="15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1843"/>
        <w:gridCol w:w="2392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冲突测试要点</w:t>
            </w:r>
          </w:p>
        </w:tc>
      </w:tr>
      <w:tr>
        <w:tc>
          <w:tcPr>
            <w:tcW w:w="817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843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接口调用</w:t>
            </w:r>
          </w:p>
        </w:tc>
        <w:tc>
          <w:tcPr>
            <w:tcW w:w="2392" w:type="dxa"/>
            <w:vAlign w:val="center"/>
          </w:tcPr>
          <w:p>
            <w:pPr>
              <w:rPr>
                <w:rFonts w:hint="eastAsia" w:eastAsiaTheme="minorEastAsia"/>
                <w:szCs w:val="24"/>
                <w:lang w:val="en-US" w:eastAsia="zh-Hans"/>
              </w:rPr>
            </w:pPr>
            <w:r>
              <w:rPr>
                <w:rFonts w:hint="eastAsia"/>
                <w:szCs w:val="24"/>
                <w:lang w:val="en-US" w:eastAsia="zh-Hans"/>
              </w:rPr>
              <w:t>增加的航线信息是否成功</w:t>
            </w:r>
          </w:p>
        </w:tc>
        <w:tc>
          <w:tcPr>
            <w:tcW w:w="2392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843" w:type="dxa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接口调用</w:t>
            </w:r>
          </w:p>
        </w:tc>
        <w:tc>
          <w:tcPr>
            <w:tcW w:w="2392" w:type="dxa"/>
            <w:vAlign w:val="center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val="en-US" w:eastAsia="zh-Hans"/>
              </w:rPr>
              <w:t>增加中标公司配比是否成功</w:t>
            </w:r>
          </w:p>
        </w:tc>
        <w:tc>
          <w:tcPr>
            <w:tcW w:w="239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2392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239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2"/>
        <w:numPr>
          <w:ilvl w:val="0"/>
          <w:numId w:val="2"/>
        </w:numPr>
        <w:spacing w:before="360" w:after="240" w:line="240" w:lineRule="auto"/>
        <w:ind w:left="361" w:hanging="360" w:hangingChars="150"/>
        <w:rPr>
          <w:sz w:val="24"/>
        </w:rPr>
      </w:pPr>
      <w:r>
        <w:rPr>
          <w:rFonts w:hint="eastAsia"/>
          <w:sz w:val="24"/>
        </w:rPr>
        <w:t>风险评估及措施（重大需求必填）</w:t>
      </w:r>
      <w:bookmarkStart w:id="0" w:name="_GoBack"/>
      <w:bookmarkEnd w:id="0"/>
    </w:p>
    <w:tbl>
      <w:tblPr>
        <w:tblStyle w:val="14"/>
        <w:tblW w:w="0" w:type="auto"/>
        <w:tblInd w:w="3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356"/>
        <w:gridCol w:w="5500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6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c>
          <w:tcPr>
            <w:tcW w:w="1226" w:type="dxa"/>
            <w:vAlign w:val="center"/>
          </w:tcPr>
          <w:p>
            <w:pPr>
              <w:rPr>
                <w:rFonts w:hAnsi="PMingLiU" w:eastAsia="宋体"/>
                <w:b/>
              </w:rPr>
            </w:pPr>
          </w:p>
        </w:tc>
        <w:tc>
          <w:tcPr>
            <w:tcW w:w="1356" w:type="dxa"/>
            <w:vAlign w:val="center"/>
          </w:tcPr>
          <w:p>
            <w:pPr>
              <w:rPr>
                <w:rFonts w:hAnsi="PMingLiU" w:eastAsia="宋体"/>
                <w:b/>
              </w:rPr>
            </w:pPr>
          </w:p>
        </w:tc>
        <w:tc>
          <w:tcPr>
            <w:tcW w:w="5500" w:type="dxa"/>
            <w:vAlign w:val="center"/>
          </w:tcPr>
          <w:p>
            <w:pPr>
              <w:rPr>
                <w:rFonts w:hAnsi="PMingLiU" w:eastAsia="宋体"/>
              </w:rPr>
            </w:pPr>
          </w:p>
        </w:tc>
        <w:tc>
          <w:tcPr>
            <w:tcW w:w="1098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6" w:type="dxa"/>
            <w:vAlign w:val="center"/>
          </w:tcPr>
          <w:p>
            <w:pPr>
              <w:rPr>
                <w:rFonts w:hAnsi="PMingLiU" w:eastAsia="宋体"/>
                <w:b/>
              </w:rPr>
            </w:pPr>
          </w:p>
        </w:tc>
        <w:tc>
          <w:tcPr>
            <w:tcW w:w="1356" w:type="dxa"/>
            <w:vAlign w:val="center"/>
          </w:tcPr>
          <w:p>
            <w:pPr>
              <w:rPr>
                <w:rFonts w:hAnsi="PMingLiU" w:eastAsia="宋体"/>
                <w:b/>
              </w:rPr>
            </w:pPr>
          </w:p>
        </w:tc>
        <w:tc>
          <w:tcPr>
            <w:tcW w:w="5500" w:type="dxa"/>
            <w:vAlign w:val="center"/>
          </w:tcPr>
          <w:p>
            <w:pPr>
              <w:rPr>
                <w:rFonts w:hAnsi="PMingLiU" w:eastAsia="宋体"/>
              </w:rPr>
            </w:pPr>
          </w:p>
        </w:tc>
        <w:tc>
          <w:tcPr>
            <w:tcW w:w="1098" w:type="dxa"/>
          </w:tcPr>
          <w:p>
            <w:pPr>
              <w:rPr>
                <w:rFonts w:eastAsia="宋体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18" w:right="1134" w:bottom="709" w:left="1418" w:header="567" w:footer="510" w:gutter="0"/>
      <w:pgNumType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333030982"/>
        </w:sdtPr>
        <w:sdtContent>
          <w:p>
            <w:pPr>
              <w:pStyle w:val="7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000" w:type="pct"/>
      <w:tblInd w:w="0" w:type="dxa"/>
      <w:tblBorders>
        <w:top w:val="double" w:color="auto" w:sz="2" w:space="0"/>
        <w:left w:val="double" w:color="auto" w:sz="2" w:space="0"/>
        <w:bottom w:val="double" w:color="auto" w:sz="2" w:space="0"/>
        <w:right w:val="double" w:color="auto" w:sz="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39"/>
      <w:gridCol w:w="5228"/>
      <w:gridCol w:w="2403"/>
    </w:tblGrid>
    <w:tr>
      <w:trPr>
        <w:cantSplit/>
        <w:trHeight w:val="340" w:hRule="exact"/>
      </w:trPr>
      <w:tc>
        <w:tcPr>
          <w:tcW w:w="1937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vAlign w:val="center"/>
        </w:tcPr>
        <w:p>
          <w:pPr>
            <w:pStyle w:val="8"/>
            <w:pBdr>
              <w:bottom w:val="none" w:color="auto" w:sz="0" w:space="0"/>
            </w:pBdr>
            <w:tabs>
              <w:tab w:val="clear" w:pos="4153"/>
              <w:tab w:val="clear" w:pos="8306"/>
            </w:tabs>
            <w:rPr>
              <w:szCs w:val="12"/>
            </w:rPr>
          </w:pPr>
          <w:r>
            <w:drawing>
              <wp:inline distT="0" distB="0" distL="0" distR="0">
                <wp:extent cx="1076325" cy="332105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vAlign w:val="center"/>
        </w:tcPr>
        <w:p>
          <w:pPr>
            <w:pStyle w:val="8"/>
            <w:pBdr>
              <w:bottom w:val="none" w:color="auto" w:sz="0" w:space="0"/>
            </w:pBdr>
            <w:tabs>
              <w:tab w:val="clear" w:pos="4153"/>
              <w:tab w:val="clear" w:pos="8306"/>
            </w:tabs>
            <w:rPr>
              <w:rFonts w:ascii="微软雅黑" w:hAnsi="微软雅黑" w:eastAsia="微软雅黑"/>
              <w:b/>
              <w:bCs/>
              <w:sz w:val="36"/>
              <w:szCs w:val="36"/>
            </w:rPr>
          </w:pPr>
          <w:r>
            <w:rPr>
              <w:rFonts w:hint="eastAsia" w:ascii="微软雅黑" w:hAnsi="微软雅黑" w:eastAsia="微软雅黑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8"/>
            <w:pBdr>
              <w:bottom w:val="none" w:color="auto" w:sz="0" w:space="0"/>
            </w:pBdr>
            <w:tabs>
              <w:tab w:val="clear" w:pos="4153"/>
              <w:tab w:val="clear" w:pos="8306"/>
            </w:tabs>
            <w:jc w:val="both"/>
            <w:rPr>
              <w:rFonts w:asciiTheme="majorEastAsia" w:hAnsiTheme="majorEastAsia" w:eastAsiaTheme="majorEastAsia"/>
              <w:bCs/>
              <w:szCs w:val="20"/>
            </w:rPr>
          </w:pPr>
          <w:r>
            <w:rPr>
              <w:rFonts w:hint="eastAsia" w:asciiTheme="majorEastAsia" w:hAnsiTheme="majorEastAsia" w:eastAsiaTheme="majorEastAsia"/>
              <w:bCs/>
              <w:szCs w:val="20"/>
            </w:rPr>
            <w:t>表  号：</w:t>
          </w:r>
          <w:r>
            <w:rPr>
              <w:rFonts w:asciiTheme="majorEastAsia" w:hAnsiTheme="majorEastAsia" w:eastAsiaTheme="majorEastAsia"/>
              <w:bCs/>
              <w:szCs w:val="20"/>
            </w:rPr>
            <w:t>36</w:t>
          </w:r>
          <w:r>
            <w:rPr>
              <w:rFonts w:hint="eastAsia" w:asciiTheme="majorEastAsia" w:hAnsiTheme="majorEastAsia" w:eastAsiaTheme="majorEastAsia"/>
              <w:bCs/>
              <w:szCs w:val="20"/>
            </w:rPr>
            <w:t>0009F02</w:t>
          </w:r>
        </w:p>
      </w:tc>
    </w:tr>
    <w:tr>
      <w:trPr>
        <w:cantSplit/>
        <w:trHeight w:val="340" w:hRule="exact"/>
      </w:trPr>
      <w:tc>
        <w:tcPr>
          <w:tcW w:w="1937" w:type="dxa"/>
          <w:vMerge w:val="continue"/>
          <w:tcBorders>
            <w:left w:val="single" w:color="auto" w:sz="4" w:space="0"/>
            <w:right w:val="single" w:color="auto" w:sz="4" w:space="0"/>
          </w:tcBorders>
          <w:vAlign w:val="center"/>
        </w:tcPr>
        <w:p>
          <w:pPr>
            <w:pStyle w:val="8"/>
            <w:jc w:val="both"/>
            <w:rPr>
              <w:sz w:val="12"/>
              <w:szCs w:val="12"/>
            </w:rPr>
          </w:pPr>
        </w:p>
      </w:tc>
      <w:tc>
        <w:tcPr>
          <w:tcW w:w="5232" w:type="dxa"/>
          <w:vMerge w:val="continue"/>
          <w:tcBorders>
            <w:left w:val="single" w:color="auto" w:sz="4" w:space="0"/>
            <w:right w:val="single" w:color="auto" w:sz="4" w:space="0"/>
          </w:tcBorders>
          <w:vAlign w:val="center"/>
        </w:tcPr>
        <w:p>
          <w:pPr>
            <w:pStyle w:val="8"/>
            <w:ind w:right="400"/>
            <w:jc w:val="right"/>
          </w:pPr>
        </w:p>
      </w:tc>
      <w:tc>
        <w:tcPr>
          <w:tcW w:w="24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8"/>
            <w:pBdr>
              <w:bottom w:val="none" w:color="auto" w:sz="0" w:space="0"/>
            </w:pBdr>
            <w:tabs>
              <w:tab w:val="clear" w:pos="4153"/>
              <w:tab w:val="clear" w:pos="8306"/>
            </w:tabs>
            <w:jc w:val="both"/>
            <w:rPr>
              <w:rFonts w:hint="eastAsia" w:asciiTheme="majorEastAsia" w:hAnsiTheme="majorEastAsia" w:eastAsiaTheme="majorEastAsia"/>
              <w:bCs/>
              <w:szCs w:val="20"/>
            </w:rPr>
          </w:pPr>
          <w:r>
            <w:rPr>
              <w:rFonts w:hint="eastAsia" w:asciiTheme="majorEastAsia" w:hAnsiTheme="majorEastAsia" w:eastAsiaTheme="majorEastAsia"/>
              <w:szCs w:val="20"/>
            </w:rPr>
            <w:t>生效期</w:t>
          </w:r>
          <w:r>
            <w:rPr>
              <w:rFonts w:hint="eastAsia" w:asciiTheme="majorEastAsia" w:hAnsiTheme="majorEastAsia" w:eastAsiaTheme="majorEastAsia"/>
              <w:bCs/>
              <w:szCs w:val="20"/>
            </w:rPr>
            <w:t>：2020.10.22</w:t>
          </w:r>
        </w:p>
      </w:tc>
    </w:tr>
    <w:tr>
      <w:trPr>
        <w:cantSplit/>
        <w:trHeight w:val="340" w:hRule="exact"/>
      </w:trPr>
      <w:tc>
        <w:tcPr>
          <w:tcW w:w="1937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8"/>
            <w:jc w:val="both"/>
            <w:rPr>
              <w:sz w:val="12"/>
              <w:szCs w:val="12"/>
            </w:rPr>
          </w:pPr>
        </w:p>
      </w:tc>
      <w:tc>
        <w:tcPr>
          <w:tcW w:w="5232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8"/>
            <w:ind w:right="400"/>
            <w:jc w:val="right"/>
          </w:pPr>
        </w:p>
      </w:tc>
      <w:tc>
        <w:tcPr>
          <w:tcW w:w="24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8"/>
            <w:pBdr>
              <w:bottom w:val="none" w:color="auto" w:sz="0" w:space="0"/>
            </w:pBdr>
            <w:tabs>
              <w:tab w:val="clear" w:pos="4153"/>
              <w:tab w:val="clear" w:pos="8306"/>
            </w:tabs>
            <w:jc w:val="both"/>
            <w:rPr>
              <w:rFonts w:asciiTheme="majorEastAsia" w:hAnsiTheme="majorEastAsia" w:eastAsiaTheme="majorEastAsia"/>
              <w:szCs w:val="20"/>
            </w:rPr>
          </w:pPr>
          <w:r>
            <w:rPr>
              <w:rFonts w:hint="eastAsia" w:asciiTheme="majorEastAsia" w:hAnsiTheme="majorEastAsia" w:eastAsiaTheme="majorEastAsia"/>
              <w:szCs w:val="20"/>
            </w:rPr>
            <w:t>密级：DTS内部公开</w:t>
          </w:r>
        </w:p>
      </w:tc>
    </w:tr>
  </w:tbl>
  <w:p>
    <w:pPr>
      <w:pStyle w:val="8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51A77"/>
    <w:multiLevelType w:val="multilevel"/>
    <w:tmpl w:val="5E651A7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8804DFB"/>
    <w:multiLevelType w:val="multilevel"/>
    <w:tmpl w:val="68804DFB"/>
    <w:lvl w:ilvl="0" w:tentative="0">
      <w:start w:val="1"/>
      <w:numFmt w:val="decimal"/>
      <w:pStyle w:val="26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27"/>
      <w:lvlText w:val="%1.%2.%3.%4"/>
      <w:lvlJc w:val="left"/>
      <w:pPr>
        <w:tabs>
          <w:tab w:val="left" w:pos="1020"/>
        </w:tabs>
        <w:ind w:left="10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40"/>
    <w:rsid w:val="00025836"/>
    <w:rsid w:val="000321C3"/>
    <w:rsid w:val="00037901"/>
    <w:rsid w:val="00044857"/>
    <w:rsid w:val="000462E9"/>
    <w:rsid w:val="0008130B"/>
    <w:rsid w:val="000953E1"/>
    <w:rsid w:val="000C5008"/>
    <w:rsid w:val="000C746B"/>
    <w:rsid w:val="000E1A27"/>
    <w:rsid w:val="000F5F2F"/>
    <w:rsid w:val="0010016F"/>
    <w:rsid w:val="00106AC6"/>
    <w:rsid w:val="00113CD2"/>
    <w:rsid w:val="0012680B"/>
    <w:rsid w:val="00130433"/>
    <w:rsid w:val="00132527"/>
    <w:rsid w:val="00136F86"/>
    <w:rsid w:val="0016336A"/>
    <w:rsid w:val="001801AA"/>
    <w:rsid w:val="001A18BD"/>
    <w:rsid w:val="001B5840"/>
    <w:rsid w:val="001C0BCC"/>
    <w:rsid w:val="001C2BBF"/>
    <w:rsid w:val="001D484A"/>
    <w:rsid w:val="0020096C"/>
    <w:rsid w:val="002308BD"/>
    <w:rsid w:val="00295B5E"/>
    <w:rsid w:val="002C7D3E"/>
    <w:rsid w:val="002D6383"/>
    <w:rsid w:val="0032154C"/>
    <w:rsid w:val="003219A8"/>
    <w:rsid w:val="00342A11"/>
    <w:rsid w:val="00356433"/>
    <w:rsid w:val="00377F10"/>
    <w:rsid w:val="003A05C3"/>
    <w:rsid w:val="003B4CEA"/>
    <w:rsid w:val="003C307C"/>
    <w:rsid w:val="003F0646"/>
    <w:rsid w:val="003F28D1"/>
    <w:rsid w:val="003F7592"/>
    <w:rsid w:val="00427426"/>
    <w:rsid w:val="00435E7E"/>
    <w:rsid w:val="00451D37"/>
    <w:rsid w:val="00474294"/>
    <w:rsid w:val="004A41F3"/>
    <w:rsid w:val="004B1D0C"/>
    <w:rsid w:val="004E34AB"/>
    <w:rsid w:val="004F2563"/>
    <w:rsid w:val="0053604E"/>
    <w:rsid w:val="00551E6A"/>
    <w:rsid w:val="00581FA9"/>
    <w:rsid w:val="005854A8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614759"/>
    <w:rsid w:val="006354DB"/>
    <w:rsid w:val="006369C8"/>
    <w:rsid w:val="006700B0"/>
    <w:rsid w:val="006757A9"/>
    <w:rsid w:val="00677DF6"/>
    <w:rsid w:val="006A25FC"/>
    <w:rsid w:val="006C0420"/>
    <w:rsid w:val="006F5613"/>
    <w:rsid w:val="00717C3E"/>
    <w:rsid w:val="0075437B"/>
    <w:rsid w:val="0077193D"/>
    <w:rsid w:val="007A3992"/>
    <w:rsid w:val="007B7E80"/>
    <w:rsid w:val="007D2225"/>
    <w:rsid w:val="007D72DB"/>
    <w:rsid w:val="007E1602"/>
    <w:rsid w:val="00833B1C"/>
    <w:rsid w:val="00840456"/>
    <w:rsid w:val="00840C8B"/>
    <w:rsid w:val="00855D76"/>
    <w:rsid w:val="0088411D"/>
    <w:rsid w:val="00887E8D"/>
    <w:rsid w:val="008A0CAC"/>
    <w:rsid w:val="008A0EF6"/>
    <w:rsid w:val="008A4C1F"/>
    <w:rsid w:val="008C7283"/>
    <w:rsid w:val="008E4F47"/>
    <w:rsid w:val="00901D0E"/>
    <w:rsid w:val="009172AB"/>
    <w:rsid w:val="00930583"/>
    <w:rsid w:val="009308AB"/>
    <w:rsid w:val="009554BB"/>
    <w:rsid w:val="009655BF"/>
    <w:rsid w:val="00970E63"/>
    <w:rsid w:val="00974818"/>
    <w:rsid w:val="009C501B"/>
    <w:rsid w:val="009D4B4B"/>
    <w:rsid w:val="009F1F4C"/>
    <w:rsid w:val="00A1045B"/>
    <w:rsid w:val="00A346B9"/>
    <w:rsid w:val="00A444F6"/>
    <w:rsid w:val="00A560BA"/>
    <w:rsid w:val="00A64A2B"/>
    <w:rsid w:val="00A936C6"/>
    <w:rsid w:val="00AB494F"/>
    <w:rsid w:val="00AB6477"/>
    <w:rsid w:val="00AD781F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8633E"/>
    <w:rsid w:val="00BA5AB6"/>
    <w:rsid w:val="00BD71D1"/>
    <w:rsid w:val="00BE5300"/>
    <w:rsid w:val="00C106AC"/>
    <w:rsid w:val="00C269E7"/>
    <w:rsid w:val="00C36040"/>
    <w:rsid w:val="00C36113"/>
    <w:rsid w:val="00C4647A"/>
    <w:rsid w:val="00C648E9"/>
    <w:rsid w:val="00C76429"/>
    <w:rsid w:val="00C87710"/>
    <w:rsid w:val="00C90C86"/>
    <w:rsid w:val="00CA5F79"/>
    <w:rsid w:val="00CB4437"/>
    <w:rsid w:val="00CD6C7A"/>
    <w:rsid w:val="00CF5E35"/>
    <w:rsid w:val="00CF6A06"/>
    <w:rsid w:val="00CF743E"/>
    <w:rsid w:val="00D231FF"/>
    <w:rsid w:val="00D6195F"/>
    <w:rsid w:val="00D95587"/>
    <w:rsid w:val="00DD7B31"/>
    <w:rsid w:val="00E455E5"/>
    <w:rsid w:val="00E47F7A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44E5"/>
    <w:rsid w:val="00F23282"/>
    <w:rsid w:val="00F2690B"/>
    <w:rsid w:val="00F55C73"/>
    <w:rsid w:val="00F76E36"/>
    <w:rsid w:val="00F97A47"/>
    <w:rsid w:val="1030737A"/>
    <w:rsid w:val="178BFFAE"/>
    <w:rsid w:val="4C824E59"/>
    <w:rsid w:val="B7FFB0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able1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b/>
      <w:i/>
      <w:color w:val="000000"/>
      <w:kern w:val="0"/>
      <w:sz w:val="20"/>
      <w:szCs w:val="20"/>
    </w:rPr>
  </w:style>
  <w:style w:type="paragraph" w:customStyle="1" w:styleId="21">
    <w:name w:val="No Spacing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字符"/>
    <w:basedOn w:val="12"/>
    <w:link w:val="21"/>
    <w:qFormat/>
    <w:uiPriority w:val="1"/>
    <w:rPr>
      <w:kern w:val="0"/>
      <w:sz w:val="22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6">
    <w:name w:val="Numbered list 2.1"/>
    <w:basedOn w:val="2"/>
    <w:next w:val="1"/>
    <w:qFormat/>
    <w:uiPriority w:val="0"/>
    <w:pPr>
      <w:keepLines w:val="0"/>
      <w:widowControl/>
      <w:numPr>
        <w:ilvl w:val="0"/>
        <w:numId w:val="1"/>
      </w:numPr>
      <w:tabs>
        <w:tab w:val="left" w:pos="720"/>
      </w:tabs>
      <w:spacing w:before="240" w:after="60" w:line="240" w:lineRule="auto"/>
      <w:jc w:val="left"/>
    </w:pPr>
    <w:rPr>
      <w:rFonts w:ascii="Futura Bk" w:hAnsi="Futura Bk" w:eastAsia="PMingLiU" w:cs="Times New Roman"/>
      <w:bCs w:val="0"/>
      <w:kern w:val="28"/>
      <w:sz w:val="28"/>
      <w:szCs w:val="20"/>
      <w:lang w:eastAsia="en-US"/>
    </w:rPr>
  </w:style>
  <w:style w:type="paragraph" w:customStyle="1" w:styleId="27">
    <w:name w:val="Numbered list 2.4"/>
    <w:basedOn w:val="4"/>
    <w:next w:val="1"/>
    <w:qFormat/>
    <w:uiPriority w:val="0"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  <w:tab w:val="clear" w:pos="1020"/>
      </w:tabs>
      <w:spacing w:before="240" w:after="60" w:line="240" w:lineRule="auto"/>
      <w:ind w:left="851" w:hanging="851"/>
      <w:jc w:val="left"/>
    </w:pPr>
    <w:rPr>
      <w:rFonts w:ascii="Futura Bk" w:hAnsi="Futura Bk" w:eastAsia="PMingLiU" w:cs="Times New Roman"/>
      <w:bCs w:val="0"/>
      <w:kern w:val="0"/>
      <w:sz w:val="20"/>
      <w:szCs w:val="20"/>
      <w:lang w:eastAsia="en-US"/>
    </w:rPr>
  </w:style>
  <w:style w:type="character" w:customStyle="1" w:styleId="28">
    <w:name w:val="标题 4 字符"/>
    <w:basedOn w:val="12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Haier</Company>
  <Pages>1</Pages>
  <Words>126</Words>
  <Characters>721</Characters>
  <Lines>6</Lines>
  <Paragraphs>1</Paragraphs>
  <TotalTime>0</TotalTime>
  <ScaleCrop>false</ScaleCrop>
  <LinksUpToDate>false</LinksUpToDate>
  <CharactersWithSpaces>846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2020-10-22T15:28:00Z</dcterms:created>
  <dc:creator>Lwq</dc:creator>
  <cp:lastModifiedBy>xu</cp:lastModifiedBy>
  <dcterms:modified xsi:type="dcterms:W3CDTF">2020-11-12T17:44:03Z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  <property fmtid="{D5CDD505-2E9C-101B-9397-08002B2CF9AE}" pid="3" name="KSOProductBuildVer">
    <vt:lpwstr>2052-2.7.1.4479</vt:lpwstr>
  </property>
</Properties>
</file>