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校区 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'南校区'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'北校区'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书名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作者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价格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页码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库存总量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现存量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入库时间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借出次数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电子书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电子书编号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电子书书名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作者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读者类型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读者类型编号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可借阅册数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可借阅册数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20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可借阅册数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60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借期天数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借期天数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90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借期天数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120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可续借天数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可续借天数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10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可续借天数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60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校园卡号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读者类型编号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姓名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性别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性别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图书借阅次数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是否挂失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已借册数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未交罚款金额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读者类型编号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读者类型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读者类型编号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管理员编号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管理员姓名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性别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性别 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罚款交费单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交费单号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校园卡编号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经手人编号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是否入库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经手人编号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管理员编号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图书入库单明细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数量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经手人编号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经手人编号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管理员编号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图书报损单明细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数量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报损原因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借阅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校园卡编号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借书日期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还书日期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罚款金额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是否续借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借书日期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>还书日期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快递表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订单号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校园卡号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下载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校园卡编号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电子书编号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下载次数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电子书编号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电子书编号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电子书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电子书编号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2020-07-06T04:08:00Z</dcterms:created>
  <dc:creator>hp</dc:creator>
  <cp:lastModifiedBy>hp</cp:lastModifiedBy>
  <dcterms:modified xsi:type="dcterms:W3CDTF">2020-07-06T04:08:58Z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