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2C576D">
      <w:pPr>
        <w:snapToGrid w:val="0"/>
        <w:spacing w:line="374" w:lineRule="atLeast"/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1028700</wp:posOffset>
            </wp:positionH>
            <wp:positionV relativeFrom="paragraph">
              <wp:posOffset>99060</wp:posOffset>
            </wp:positionV>
            <wp:extent cx="3543300" cy="1071245"/>
            <wp:effectExtent l="0" t="0" r="0" b="0"/>
            <wp:wrapNone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07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ED1">
      <w:pPr>
        <w:snapToGrid w:val="0"/>
        <w:spacing w:line="374" w:lineRule="atLeast"/>
      </w:pPr>
    </w:p>
    <w:p w14:paraId="29CAD942">
      <w:pPr>
        <w:snapToGrid w:val="0"/>
        <w:spacing w:line="306" w:lineRule="atLeast"/>
        <w:ind w:firstLine="2517"/>
      </w:pPr>
    </w:p>
    <w:p w14:paraId="65FD90F1">
      <w:pPr>
        <w:snapToGrid w:val="0"/>
        <w:spacing w:line="555" w:lineRule="atLeast"/>
        <w:ind w:firstLine="873"/>
        <w:jc w:val="center"/>
      </w:pPr>
    </w:p>
    <w:p w14:paraId="4BAE50D5">
      <w:pPr>
        <w:snapToGrid w:val="0"/>
        <w:spacing w:line="776" w:lineRule="atLeast"/>
        <w:ind w:firstLine="839"/>
        <w:jc w:val="center"/>
        <w:rPr>
          <w:rFonts w:ascii="华文标宋"/>
          <w:b/>
          <w:bCs/>
          <w:sz w:val="42"/>
        </w:rPr>
      </w:pPr>
    </w:p>
    <w:p w14:paraId="795FC8B4">
      <w:pPr>
        <w:snapToGrid w:val="0"/>
        <w:spacing w:line="776" w:lineRule="atLeast"/>
        <w:ind w:firstLine="839"/>
        <w:jc w:val="center"/>
        <w:rPr>
          <w:b/>
          <w:bCs/>
        </w:rPr>
      </w:pPr>
      <w:r>
        <w:rPr>
          <w:rFonts w:ascii="华文标宋" w:eastAsia="华文标宋"/>
          <w:b/>
          <w:bCs/>
          <w:sz w:val="42"/>
        </w:rPr>
        <w:t>本　科　实　习　报　告</w:t>
      </w:r>
    </w:p>
    <w:p w14:paraId="6AA38C9C">
      <w:pPr>
        <w:snapToGrid w:val="0"/>
        <w:spacing w:line="306" w:lineRule="atLeast"/>
        <w:ind w:firstLine="839"/>
      </w:pPr>
    </w:p>
    <w:p w14:paraId="1F563A2E">
      <w:pPr>
        <w:snapToGrid w:val="0"/>
        <w:spacing w:line="306" w:lineRule="atLeast"/>
        <w:ind w:firstLine="839"/>
      </w:pPr>
      <w:r>
        <w:drawing>
          <wp:anchor distT="107950" distB="107950" distL="107950" distR="107950" simplePos="0" relativeHeight="251659264" behindDoc="0" locked="0" layoutInCell="1" allowOverlap="1">
            <wp:simplePos x="0" y="0"/>
            <wp:positionH relativeFrom="page">
              <wp:posOffset>3314700</wp:posOffset>
            </wp:positionH>
            <wp:positionV relativeFrom="page">
              <wp:posOffset>3291840</wp:posOffset>
            </wp:positionV>
            <wp:extent cx="1485900" cy="1288415"/>
            <wp:effectExtent l="0" t="0" r="0" b="0"/>
            <wp:wrapSquare wrapText="largest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28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algn="ctr" rotWithShape="0">
                        <a:srgbClr val="A0A0A4"/>
                      </a:outerShdw>
                    </a:effectLst>
                  </pic:spPr>
                </pic:pic>
              </a:graphicData>
            </a:graphic>
          </wp:anchor>
        </w:drawing>
      </w:r>
    </w:p>
    <w:p w14:paraId="4A02B3B4">
      <w:pPr>
        <w:snapToGrid w:val="0"/>
        <w:spacing w:line="306" w:lineRule="atLeast"/>
        <w:ind w:firstLine="839"/>
      </w:pPr>
    </w:p>
    <w:p w14:paraId="64B4D4AF">
      <w:pPr>
        <w:snapToGrid w:val="0"/>
        <w:spacing w:line="306" w:lineRule="atLeast"/>
        <w:ind w:firstLine="839"/>
      </w:pPr>
    </w:p>
    <w:p w14:paraId="085024AE">
      <w:pPr>
        <w:snapToGrid w:val="0"/>
        <w:spacing w:line="306" w:lineRule="atLeast"/>
        <w:ind w:firstLine="839"/>
      </w:pPr>
    </w:p>
    <w:p w14:paraId="059BD84B">
      <w:pPr>
        <w:snapToGrid w:val="0"/>
        <w:spacing w:line="306" w:lineRule="atLeast"/>
        <w:ind w:firstLine="839"/>
      </w:pPr>
    </w:p>
    <w:p w14:paraId="46C567BF">
      <w:pPr>
        <w:snapToGrid w:val="0"/>
        <w:spacing w:line="385" w:lineRule="atLeast"/>
        <w:ind w:firstLine="623"/>
      </w:pPr>
    </w:p>
    <w:p w14:paraId="1E29F490">
      <w:pPr>
        <w:snapToGrid w:val="0"/>
        <w:spacing w:line="385" w:lineRule="atLeast"/>
        <w:ind w:firstLine="623"/>
      </w:pPr>
    </w:p>
    <w:p w14:paraId="4A97FA8C">
      <w:pPr>
        <w:snapToGrid w:val="0"/>
        <w:spacing w:line="385" w:lineRule="atLeast"/>
        <w:ind w:firstLine="623"/>
      </w:pPr>
    </w:p>
    <w:p w14:paraId="4373BC94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　　院　</w:t>
      </w:r>
      <w:r>
        <w:rPr>
          <w:rFonts w:ascii="仿宋_GB2312" w:eastAsia="仿宋_GB2312"/>
          <w:b/>
          <w:sz w:val="31"/>
          <w:u w:val="single"/>
        </w:rPr>
        <w:t>　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  <w:u w:val="single"/>
        </w:rPr>
        <w:t xml:space="preserve">网络空间安全学院   </w:t>
      </w:r>
      <w:r>
        <w:rPr>
          <w:rFonts w:ascii="仿宋_GB2312" w:eastAsia="仿宋_GB2312"/>
          <w:b/>
          <w:sz w:val="31"/>
          <w:u w:val="single"/>
        </w:rPr>
        <w:t xml:space="preserve"> </w:t>
      </w:r>
      <w:r>
        <w:rPr>
          <w:rFonts w:hint="eastAsia" w:ascii="仿宋_GB2312" w:eastAsia="仿宋_GB2312"/>
          <w:b/>
          <w:sz w:val="31"/>
          <w:u w:val="single"/>
        </w:rPr>
        <w:t xml:space="preserve">  </w:t>
      </w:r>
      <w:r>
        <w:rPr>
          <w:rFonts w:hint="eastAsia" w:ascii="仿宋_GB2312" w:eastAsia="仿宋_GB2312"/>
          <w:b/>
          <w:sz w:val="31"/>
        </w:rPr>
        <w:t xml:space="preserve">       </w:t>
      </w:r>
      <w:r>
        <w:rPr>
          <w:rFonts w:hint="eastAsia" w:ascii="仿宋_GB2312" w:eastAsia="仿宋_GB2312"/>
          <w:b/>
          <w:sz w:val="31"/>
          <w:u w:val="single"/>
        </w:rPr>
        <w:t xml:space="preserve">                                  </w:t>
      </w:r>
      <w:r>
        <w:rPr>
          <w:rFonts w:ascii="仿宋_GB2312" w:eastAsia="仿宋_GB2312"/>
          <w:b/>
          <w:sz w:val="31"/>
          <w:u w:val="single"/>
        </w:rPr>
        <w:t>　　</w:t>
      </w:r>
    </w:p>
    <w:p w14:paraId="4A164CF0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>学生姓名　</w:t>
      </w:r>
      <w:r>
        <w:rPr>
          <w:rFonts w:ascii="仿宋_GB2312" w:eastAsia="仿宋_GB2312"/>
          <w:b/>
          <w:sz w:val="31"/>
          <w:u w:val="single"/>
        </w:rPr>
        <w:t xml:space="preserve">     　　　</w:t>
      </w:r>
      <w:r>
        <w:rPr>
          <w:rFonts w:hint="eastAsia" w:ascii="仿宋_GB2312" w:eastAsia="仿宋_GB2312"/>
          <w:b/>
          <w:sz w:val="31"/>
          <w:u w:val="single"/>
          <w:lang w:val="en-US" w:eastAsia="zh-CN"/>
        </w:rPr>
        <w:t>王孝涵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　　　　　　 </w:t>
      </w:r>
    </w:p>
    <w:p w14:paraId="54925E7D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专　　业  </w:t>
      </w:r>
      <w:r>
        <w:rPr>
          <w:rFonts w:ascii="仿宋_GB2312" w:eastAsia="仿宋_GB2312"/>
          <w:b/>
          <w:sz w:val="31"/>
          <w:u w:val="single"/>
        </w:rPr>
        <w:t xml:space="preserve">        </w:t>
      </w:r>
      <w:r>
        <w:rPr>
          <w:rFonts w:hint="eastAsia" w:ascii="仿宋_GB2312" w:eastAsia="仿宋_GB2312"/>
          <w:b/>
          <w:sz w:val="31"/>
          <w:u w:val="single"/>
        </w:rPr>
        <w:t>网络空间安全</w:t>
      </w:r>
      <w:r>
        <w:rPr>
          <w:rFonts w:ascii="仿宋_GB2312" w:eastAsia="仿宋_GB2312"/>
          <w:b/>
          <w:sz w:val="31"/>
          <w:u w:val="single"/>
        </w:rPr>
        <w:t>　　　　</w:t>
      </w:r>
    </w:p>
    <w:p w14:paraId="0E3FD04F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学　　号  </w:t>
      </w:r>
      <w:r>
        <w:rPr>
          <w:rFonts w:ascii="仿宋_GB2312" w:eastAsia="仿宋_GB2312"/>
          <w:b/>
          <w:sz w:val="31"/>
          <w:u w:val="single"/>
        </w:rPr>
        <w:t xml:space="preserve">       202</w:t>
      </w:r>
      <w:r>
        <w:rPr>
          <w:rFonts w:hint="eastAsia" w:ascii="仿宋_GB2312" w:eastAsia="仿宋_GB2312"/>
          <w:b/>
          <w:sz w:val="31"/>
          <w:u w:val="single"/>
        </w:rPr>
        <w:t>5</w:t>
      </w:r>
      <w:r>
        <w:rPr>
          <w:rFonts w:ascii="仿宋_GB2312" w:eastAsia="仿宋_GB2312"/>
          <w:b/>
          <w:sz w:val="31"/>
          <w:u w:val="single"/>
        </w:rPr>
        <w:t>14153</w:t>
      </w:r>
      <w:r>
        <w:rPr>
          <w:rFonts w:hint="eastAsia" w:ascii="仿宋_GB2312" w:eastAsia="仿宋_GB2312"/>
          <w:b/>
          <w:sz w:val="31"/>
          <w:u w:val="single"/>
          <w:lang w:val="en-US" w:eastAsia="zh-CN"/>
        </w:rPr>
        <w:t>0111</w:t>
      </w:r>
      <w:r>
        <w:rPr>
          <w:rFonts w:ascii="仿宋_GB2312" w:eastAsia="仿宋_GB2312"/>
          <w:b/>
          <w:sz w:val="31"/>
          <w:u w:val="single"/>
        </w:rPr>
        <w:t xml:space="preserve">  　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</w:t>
      </w:r>
    </w:p>
    <w:p w14:paraId="41271395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年　　级  </w:t>
      </w:r>
      <w:r>
        <w:rPr>
          <w:rFonts w:ascii="仿宋_GB2312" w:eastAsia="仿宋_GB2312"/>
          <w:b/>
          <w:sz w:val="31"/>
          <w:u w:val="single"/>
        </w:rPr>
        <w:t xml:space="preserve">          202</w:t>
      </w:r>
      <w:r>
        <w:rPr>
          <w:rFonts w:hint="eastAsia" w:ascii="仿宋_GB2312" w:eastAsia="仿宋_GB2312"/>
          <w:b/>
          <w:sz w:val="31"/>
          <w:u w:val="single"/>
        </w:rPr>
        <w:t>5级</w:t>
      </w:r>
      <w:r>
        <w:rPr>
          <w:rFonts w:ascii="仿宋_GB2312" w:eastAsia="仿宋_GB2312"/>
          <w:b/>
          <w:sz w:val="31"/>
          <w:u w:val="single"/>
        </w:rPr>
        <w:t xml:space="preserve">           </w:t>
      </w:r>
    </w:p>
    <w:p w14:paraId="13270D67">
      <w:pPr>
        <w:snapToGrid w:val="0"/>
        <w:spacing w:line="822" w:lineRule="atLeast"/>
        <w:ind w:firstLine="1400"/>
      </w:pPr>
      <w:r>
        <w:rPr>
          <w:rFonts w:ascii="仿宋_GB2312" w:eastAsia="仿宋_GB2312"/>
          <w:b/>
          <w:sz w:val="31"/>
        </w:rPr>
        <w:t xml:space="preserve">指导教师  </w:t>
      </w:r>
      <w:r>
        <w:rPr>
          <w:rFonts w:ascii="仿宋_GB2312" w:eastAsia="仿宋_GB2312"/>
          <w:b/>
          <w:sz w:val="31"/>
          <w:u w:val="single"/>
        </w:rPr>
        <w:t xml:space="preserve">          </w:t>
      </w:r>
      <w:r>
        <w:rPr>
          <w:rFonts w:hint="eastAsia" w:ascii="仿宋_GB2312" w:eastAsia="仿宋_GB2312"/>
          <w:b/>
          <w:sz w:val="31"/>
          <w:u w:val="single"/>
          <w:lang w:val="en-US" w:eastAsia="zh-CN"/>
        </w:rPr>
        <w:t>陈腾</w:t>
      </w:r>
      <w:r>
        <w:rPr>
          <w:rFonts w:hint="eastAsia" w:ascii="仿宋_GB2312" w:eastAsia="仿宋_GB2312"/>
          <w:b/>
          <w:sz w:val="31"/>
          <w:u w:val="single"/>
        </w:rPr>
        <w:t xml:space="preserve"> </w:t>
      </w:r>
      <w:r>
        <w:rPr>
          <w:rFonts w:ascii="仿宋_GB2312" w:eastAsia="仿宋_GB2312"/>
          <w:b/>
          <w:sz w:val="31"/>
          <w:u w:val="single"/>
        </w:rPr>
        <w:t xml:space="preserve">                 </w:t>
      </w:r>
    </w:p>
    <w:p w14:paraId="5C39ECD3">
      <w:pPr>
        <w:snapToGrid w:val="0"/>
        <w:spacing w:line="742" w:lineRule="atLeast"/>
      </w:pPr>
    </w:p>
    <w:p w14:paraId="353F54A3">
      <w:pPr>
        <w:snapToGrid w:val="0"/>
        <w:spacing w:line="742" w:lineRule="atLeast"/>
      </w:pPr>
    </w:p>
    <w:p w14:paraId="599EBFF7">
      <w:pPr>
        <w:snapToGrid w:val="0"/>
        <w:spacing w:line="572" w:lineRule="atLeast"/>
        <w:ind w:firstLine="623"/>
        <w:jc w:val="center"/>
      </w:pPr>
      <w:r>
        <w:rPr>
          <w:rFonts w:ascii="仿宋_GB2312" w:eastAsia="仿宋_GB2312"/>
          <w:b/>
          <w:sz w:val="31"/>
        </w:rPr>
        <w:t>教务处制表</w:t>
      </w:r>
    </w:p>
    <w:p w14:paraId="3A373CE6">
      <w:pPr>
        <w:snapToGrid w:val="0"/>
        <w:spacing w:line="572" w:lineRule="atLeast"/>
        <w:ind w:firstLine="623"/>
        <w:jc w:val="center"/>
      </w:pPr>
      <w:r>
        <w:rPr>
          <w:rFonts w:hint="eastAsia" w:ascii="仿宋_GB2312" w:eastAsia="仿宋_GB2312"/>
          <w:b/>
          <w:sz w:val="31"/>
        </w:rPr>
        <w:t>二〇二六</w:t>
      </w:r>
      <w:r>
        <w:rPr>
          <w:rFonts w:ascii="仿宋_GB2312" w:eastAsia="仿宋_GB2312"/>
          <w:b/>
          <w:sz w:val="31"/>
        </w:rPr>
        <w:t>年</w:t>
      </w:r>
      <w:r>
        <w:rPr>
          <w:rFonts w:hint="eastAsia" w:ascii="仿宋_GB2312" w:eastAsia="仿宋_GB2312"/>
          <w:b/>
          <w:sz w:val="31"/>
        </w:rPr>
        <w:t>七</w:t>
      </w:r>
      <w:r>
        <w:rPr>
          <w:rFonts w:ascii="仿宋_GB2312" w:eastAsia="仿宋_GB2312"/>
          <w:b/>
          <w:sz w:val="31"/>
        </w:rPr>
        <w:t>月</w:t>
      </w:r>
      <w:r>
        <w:rPr>
          <w:rFonts w:hint="eastAsia" w:ascii="仿宋_GB2312" w:eastAsia="仿宋_GB2312"/>
          <w:b/>
          <w:sz w:val="31"/>
        </w:rPr>
        <w:t>十七</w:t>
      </w:r>
      <w:r>
        <w:rPr>
          <w:rFonts w:ascii="仿宋_GB2312" w:eastAsia="仿宋_GB2312"/>
          <w:b/>
          <w:sz w:val="31"/>
        </w:rPr>
        <w:t>日</w:t>
      </w:r>
    </w:p>
    <w:p w14:paraId="7428190C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课程名称：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b/>
          <w:bCs/>
          <w:sz w:val="24"/>
          <w:szCs w:val="28"/>
          <w:u w:val="single"/>
        </w:rPr>
        <w:t xml:space="preserve"> </w:t>
      </w:r>
      <w:r>
        <w:rPr>
          <w:rFonts w:hint="eastAsia"/>
          <w:b/>
          <w:bCs/>
          <w:sz w:val="24"/>
          <w:szCs w:val="28"/>
          <w:u w:val="single"/>
        </w:rPr>
        <w:t xml:space="preserve">网络安全实践-1 </w:t>
      </w:r>
      <w:r>
        <w:rPr>
          <w:b/>
          <w:bCs/>
          <w:sz w:val="24"/>
          <w:szCs w:val="28"/>
          <w:u w:val="single"/>
        </w:rPr>
        <w:t xml:space="preserve">  </w:t>
      </w:r>
      <w:r>
        <w:rPr>
          <w:rFonts w:hint="eastAsia"/>
          <w:b/>
          <w:bCs/>
          <w:sz w:val="24"/>
          <w:szCs w:val="28"/>
          <w:u w:val="single"/>
        </w:rPr>
        <w:t>　</w:t>
      </w:r>
    </w:p>
    <w:p w14:paraId="4155C4DD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课程号码：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>314048020</w:t>
      </w:r>
      <w:r>
        <w:rPr>
          <w:rFonts w:hint="eastAsia"/>
          <w:b/>
          <w:bCs/>
          <w:sz w:val="24"/>
          <w:szCs w:val="28"/>
          <w:u w:val="single"/>
        </w:rPr>
        <w:t>　　</w:t>
      </w:r>
    </w:p>
    <w:p w14:paraId="126E3485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实习周数：</w:t>
      </w:r>
      <w:r>
        <w:rPr>
          <w:rFonts w:hint="eastAsia"/>
          <w:b/>
          <w:bCs/>
          <w:sz w:val="24"/>
          <w:szCs w:val="28"/>
          <w:u w:val="single"/>
        </w:rPr>
        <w:t>　　　　2　　　　　　　</w:t>
      </w:r>
      <w:r>
        <w:rPr>
          <w:rFonts w:hint="eastAsia"/>
          <w:b/>
          <w:bCs/>
          <w:sz w:val="24"/>
          <w:szCs w:val="28"/>
        </w:rPr>
        <w:t>　　课程学分：</w:t>
      </w:r>
      <w:r>
        <w:rPr>
          <w:rFonts w:hint="eastAsia"/>
          <w:b/>
          <w:bCs/>
          <w:sz w:val="24"/>
          <w:szCs w:val="28"/>
          <w:u w:val="single"/>
        </w:rPr>
        <w:t xml:space="preserve">　 </w:t>
      </w:r>
      <w:r>
        <w:rPr>
          <w:b/>
          <w:bCs/>
          <w:sz w:val="24"/>
          <w:szCs w:val="28"/>
          <w:u w:val="single"/>
        </w:rPr>
        <w:t xml:space="preserve">    </w:t>
      </w:r>
      <w:r>
        <w:rPr>
          <w:rFonts w:hint="eastAsia"/>
          <w:b/>
          <w:bCs/>
          <w:sz w:val="24"/>
          <w:szCs w:val="28"/>
          <w:u w:val="single"/>
        </w:rPr>
        <w:t>　2　　　　　</w:t>
      </w:r>
    </w:p>
    <w:p w14:paraId="28E18AD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实习单位：</w:t>
      </w:r>
      <w:r>
        <w:rPr>
          <w:rFonts w:hint="eastAsia"/>
          <w:b/>
          <w:bCs/>
          <w:sz w:val="24"/>
          <w:szCs w:val="28"/>
          <w:u w:val="single"/>
        </w:rPr>
        <w:t>四川讯方信息技术有限公司</w:t>
      </w:r>
      <w:r>
        <w:rPr>
          <w:rFonts w:hint="eastAsia"/>
          <w:b/>
          <w:bCs/>
          <w:sz w:val="24"/>
          <w:szCs w:val="28"/>
        </w:rPr>
        <w:t>　　实习地点：</w:t>
      </w:r>
      <w:r>
        <w:rPr>
          <w:rFonts w:hint="eastAsia"/>
          <w:b/>
          <w:bCs/>
          <w:sz w:val="24"/>
          <w:szCs w:val="28"/>
          <w:u w:val="single"/>
        </w:rPr>
        <w:t>　</w:t>
      </w:r>
      <w:r>
        <w:rPr>
          <w:rFonts w:hint="eastAsia"/>
          <w:b/>
          <w:bCs/>
          <w:sz w:val="24"/>
          <w:szCs w:val="28"/>
          <w:u w:val="single"/>
          <w:lang w:val="en-US" w:eastAsia="zh-CN"/>
        </w:rPr>
        <w:t>四川大学空天科学与工程学院9楼903</w:t>
      </w:r>
      <w:r>
        <w:rPr>
          <w:rFonts w:hint="eastAsia"/>
          <w:b/>
          <w:bCs/>
          <w:sz w:val="24"/>
          <w:szCs w:val="28"/>
          <w:u w:val="single"/>
        </w:rPr>
        <w:t>　　　　　　　　　</w:t>
      </w:r>
    </w:p>
    <w:p w14:paraId="6F9725C0">
      <w:pPr>
        <w:autoSpaceDE w:val="0"/>
        <w:autoSpaceDN w:val="0"/>
        <w:adjustRightInd w:val="0"/>
        <w:spacing w:before="156" w:beforeLines="50" w:line="400" w:lineRule="exact"/>
        <w:ind w:right="284"/>
        <w:rPr>
          <w:b/>
          <w:bCs/>
          <w:sz w:val="24"/>
          <w:szCs w:val="28"/>
          <w:u w:val="single"/>
        </w:rPr>
      </w:pPr>
      <w:r>
        <w:rPr>
          <w:rFonts w:hint="eastAsia"/>
          <w:b/>
          <w:bCs/>
          <w:sz w:val="24"/>
          <w:szCs w:val="28"/>
        </w:rPr>
        <w:t>实习时间：</w:t>
      </w:r>
      <w:r>
        <w:rPr>
          <w:rFonts w:hint="eastAsia"/>
          <w:b/>
          <w:bCs/>
          <w:sz w:val="24"/>
          <w:szCs w:val="28"/>
          <w:u w:val="single"/>
        </w:rPr>
        <w:t>　2026年7月6日-7月10日，7月13日-7月17日</w:t>
      </w:r>
      <w:r>
        <w:rPr>
          <w:b/>
          <w:bCs/>
          <w:sz w:val="24"/>
          <w:szCs w:val="28"/>
          <w:u w:val="single"/>
        </w:rPr>
        <w:t xml:space="preserve">  </w:t>
      </w:r>
    </w:p>
    <w:p w14:paraId="14902EF0">
      <w:pPr>
        <w:autoSpaceDE w:val="0"/>
        <w:autoSpaceDN w:val="0"/>
        <w:adjustRightInd w:val="0"/>
        <w:spacing w:line="380" w:lineRule="exact"/>
        <w:ind w:right="286"/>
        <w:rPr>
          <w:sz w:val="24"/>
          <w:szCs w:val="28"/>
        </w:rPr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225C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A656E26">
            <w:pPr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一、实习目的、要求：</w:t>
            </w:r>
          </w:p>
          <w:p w14:paraId="4952B20E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  <w:r>
              <w:rPr>
                <w:color w:val="000000"/>
                <w:sz w:val="24"/>
                <w:szCs w:val="24"/>
              </w:rPr>
              <w:t>（一）实习目的</w:t>
            </w:r>
          </w:p>
          <w:p w14:paraId="606C816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本次 </w:t>
            </w:r>
            <w:r>
              <w:rPr>
                <w:rFonts w:hint="eastAsia" w:ascii="宋体" w:hAnsi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2</w:t>
            </w: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 周网络安全企业实训是专业核心实践环节，旨在对接行业安全服务岗位需求，培养标准化项目交付能力。学生将掌握资产测绘、全类型渗透测试、风险评估完整流程，熟练运用 OpenClaw 大模型实现 AI 辅助漏洞挖掘、攻击路径规划等实操；锤炼 Web、内网、域渗透实战技能，适配渗透测试、等保测评等就业方向。同时融合网络安全法学知识，树立数据安全、个人信息保护合规思维，具备规范文档撰写、团队项目协作与基础项目管理能力。</w:t>
            </w:r>
          </w:p>
          <w:p w14:paraId="1A36DF47">
            <w:pPr>
              <w:pStyle w:val="2"/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2" w:firstLineChars="20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（二）实习要求</w:t>
            </w:r>
          </w:p>
          <w:p w14:paraId="6C9A67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360" w:lineRule="atLeast"/>
              <w:ind w:left="0" w:right="0" w:firstLine="480" w:firstLineChars="200"/>
              <w:jc w:val="left"/>
            </w:pPr>
            <w:r>
              <w:rPr>
                <w:rFonts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</w:rPr>
              <w:t>实训期间须遵守校企管理、考勤与项目规范，仅在授权靶场开展实验，严守三部网络安全相关法律，杜绝非法测试。独立完成测绘、漏洞挖掘、渗透评估等任务，熟练使用主流渗透工具与 AI 安全模型，产出完整实训材料。以小组协作完成项目全流程交付，如实记录实验过程，文档真实规范，网络空间安全与法学双学位学生需额外完成合规分析内容，按时提交全部实训成果。</w:t>
            </w:r>
          </w:p>
          <w:p w14:paraId="7A7BA98E">
            <w:pPr>
              <w:rPr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二、实习主要内容</w:t>
            </w:r>
            <w:r>
              <w:rPr>
                <w:rFonts w:hint="eastAsia"/>
                <w:sz w:val="28"/>
              </w:rPr>
              <w:t>：</w:t>
            </w:r>
          </w:p>
          <w:p w14:paraId="75249FE6">
            <w:pPr>
              <w:ind w:firstLine="420"/>
            </w:pPr>
          </w:p>
          <w:p w14:paraId="19172960">
            <w:pPr>
              <w:ind w:firstLine="420"/>
            </w:pPr>
          </w:p>
          <w:p w14:paraId="289B143B">
            <w:pPr>
              <w:ind w:firstLine="420"/>
            </w:pPr>
          </w:p>
          <w:p w14:paraId="6063D26E">
            <w:pPr>
              <w:ind w:firstLine="420"/>
            </w:pPr>
          </w:p>
          <w:p w14:paraId="708CAC3C">
            <w:pPr>
              <w:ind w:firstLine="420"/>
            </w:pPr>
          </w:p>
          <w:p w14:paraId="5FB877AD">
            <w:pPr>
              <w:ind w:firstLine="420"/>
            </w:pPr>
          </w:p>
          <w:p w14:paraId="42D407AE">
            <w:pPr>
              <w:ind w:firstLine="420"/>
            </w:pPr>
          </w:p>
          <w:p w14:paraId="5B378443">
            <w:pPr>
              <w:ind w:firstLine="420"/>
            </w:pPr>
          </w:p>
          <w:p w14:paraId="7BD9E750">
            <w:pPr>
              <w:ind w:firstLine="420"/>
            </w:pPr>
          </w:p>
          <w:p w14:paraId="718BD442">
            <w:pPr>
              <w:ind w:firstLine="420"/>
            </w:pPr>
          </w:p>
          <w:p w14:paraId="1C5ACCE8">
            <w:pPr>
              <w:ind w:firstLine="420"/>
            </w:pPr>
          </w:p>
          <w:p w14:paraId="6273AD88">
            <w:pPr>
              <w:ind w:firstLine="420"/>
            </w:pPr>
          </w:p>
          <w:p w14:paraId="0AD51EAA">
            <w:pPr>
              <w:ind w:firstLine="420"/>
            </w:pPr>
          </w:p>
          <w:p w14:paraId="2D061495">
            <w:pPr>
              <w:ind w:firstLine="420"/>
            </w:pPr>
          </w:p>
          <w:p w14:paraId="5D507424">
            <w:pPr>
              <w:ind w:firstLine="420"/>
            </w:pPr>
          </w:p>
          <w:p w14:paraId="72846503">
            <w:pPr>
              <w:ind w:firstLine="420"/>
            </w:pPr>
          </w:p>
          <w:p w14:paraId="5C241F6C">
            <w:pPr>
              <w:ind w:firstLine="420"/>
            </w:pPr>
          </w:p>
          <w:p w14:paraId="70D64B79">
            <w:pPr>
              <w:ind w:firstLine="420"/>
            </w:pPr>
          </w:p>
          <w:p w14:paraId="681A479B">
            <w:pPr>
              <w:ind w:firstLine="420"/>
            </w:pPr>
          </w:p>
          <w:p>
            <w:pPr/>
            <w:r>
              <w:rPr>
                <w:b/>
                <w:sz w:val="21"/>
              </w:rPr>
              <w:t xml:space="preserve">（一）项目背景与平台搭建</w:t>
            </w:r>
            <w:r>
              <w:br/>
            </w:r>
            <w:r>
              <w:rPr>
                <w:sz w:val="21"/>
              </w:rPr>
              <w:t xml:space="preserve">实习项目为一个基于 Python Flask 框架构建的用户信息管理平台，集成了用户注册、登录、个人信息管理、头像上传、账户充值、用户搜索、安全报告下载等完整功能。数据库使用 SQLite，前端使用 Jinja2 模板引擎，部署在 Kali Linux 虚拟机环境中，并通过 frpc 隧道将内网服务映射至公网访问。项目初始代码包含多项故意预留的 Web 安全漏洞，涵盖 OWASP Top 10 中的多个漏洞类别。本次实习的核心任务是在该平台上依次新增功能模块，开展安全漏洞分析、撰写漏洞报告，并完成安全修复的全流程实践。</w:t>
            </w:r>
          </w:p>
          <w:p>
            <w:pPr/>
            <w:r>
              <w:rPr>
                <w:b/>
                <w:sz w:val="21"/>
              </w:rPr>
              <w:t xml:space="preserve">（二）新增功能模块与漏洞分析实践</w:t>
            </w:r>
            <w:r>
              <w:br/>
            </w:r>
            <w:r>
              <w:rPr>
                <w:sz w:val="21"/>
              </w:rPr>
              <w:t xml:space="preserve">实习期间在已有平台上新增了六个功能模块，每个模块均按照需求分析、代码实现、漏洞验证、安全修复、报告撰写的完整流程开展实践。具体模块包括：动态页面加载功能（包含路径遍历/文件包含漏洞）、密码修改功能（包含 CSRF/越权/缺少原密码验证漏洞）、URL 抓取功能（包含 SSRF 漏洞）、Ping 网络诊断功能（包含命令注入漏洞）、XML 数据导入功能（包含 XXE 漏洞）。每个功能在实现时均故意保留了典型的安全缺陷，如不对用户输入做校验、使用危险函数、不添加 CSRF Token 等。</w:t>
            </w:r>
          </w:p>
          <w:p>
            <w:pPr/>
            <w:r>
              <w:rPr>
                <w:b/>
                <w:sz w:val="21"/>
              </w:rPr>
              <w:t xml:space="preserve">（三）路径遍历与文件包含漏洞分析</w:t>
            </w:r>
            <w:r>
              <w:br/>
            </w:r>
            <w:r>
              <w:rPr>
                <w:sz w:val="21"/>
              </w:rPr>
              <w:t xml:space="preserve">在动态页面加载功能中，代码使用 os.path.join("pages", name) 拼接文件路径，未对 name 参数中的 ../ 序列做任何过滤。通过构造 /page?name=../../../../etc/passwd 请求，成功读取了服务器上的系统文件。进一步分析发现，模板中使用 {{ page_content | safe }} 输出文件内容，若被包含的文件含有恶意 HTML/JavaScript，可进一步升级为存储型 XSS 攻击。修复方案为：使用 os.path.realpath() 规范化路径，并校验最终路径是否位于 pages/ 目录范围内，从根本上杜绝路径遍历攻击。</w:t>
            </w:r>
          </w:p>
          <w:p>
            <w:pPr/>
            <w:r>
              <w:rPr>
                <w:b/>
                <w:sz w:val="21"/>
              </w:rPr>
              <w:t xml:space="preserve">（四）CSRF 与越权漏洞分析</w:t>
            </w:r>
            <w:r>
              <w:br/>
            </w:r>
            <w:r>
              <w:rPr>
                <w:sz w:val="21"/>
              </w:rPr>
              <w:t xml:space="preserve">在密码修改功能中，存在三项安全缺陷：未使用 CSRF Token、未验证 session 用户与表单提交的用户名一致性（越权漏洞）、未要求验证原密码。通过越权测试，使用 alice 用户的 session 成功修改了 admin 用户的密码，实现了从普通用户到管理员的权限提升。此外，缺少 CSRF Token 意味着攻击者可以构造跨站表单，诱使已登录用户在不知情的情况下修改密码。修复方案为：添加 CSRF Token 生成与验证机制、从 session 中获取当前用户名而非表单获取、增加原密码验证环节。该案例充分说明了服务端永不信任客户端输入的安全原则。</w:t>
            </w:r>
          </w:p>
          <w:p>
            <w:pPr/>
            <w:r>
              <w:rPr>
                <w:b/>
                <w:sz w:val="21"/>
              </w:rPr>
              <w:t xml:space="preserve">（五）SSRF 漏洞分析</w:t>
            </w:r>
            <w:r>
              <w:br/>
            </w:r>
            <w:r>
              <w:rPr>
                <w:sz w:val="21"/>
              </w:rPr>
              <w:t xml:space="preserve">URL 抓取功能使用 urllib.request.urlopen(url) 直接访问用户提交的 URL，未对协议和 IP 做任何限制。测试中通过 file:///etc/passwd 成功读取了本地系统文件，通过 http://127.0.0.1:5002/ 成功访问了服务器回环地址上的 HTTP 服务，证实了 SSRF 漏洞的存在。该漏洞在云环境中可进一步利用于访问 169.254.169.254 元数据服务，获取云服务临时凭据。修复方案为：限制仅允许 http/https 协议、对域名解析后的 IP 地址进行内网校验（检查 ip.is_private、ip.is_loopback、ip.is_link_local），并单独拦截云元数据地址 169.254.169.254。</w:t>
            </w:r>
          </w:p>
          <w:p>
            <w:pPr/>
            <w:r>
              <w:rPr>
                <w:b/>
                <w:sz w:val="21"/>
              </w:rPr>
              <w:t xml:space="preserve">（六）命令注入漏洞分析</w:t>
            </w:r>
            <w:r>
              <w:br/>
            </w:r>
            <w:r>
              <w:rPr>
                <w:sz w:val="21"/>
              </w:rPr>
              <w:t xml:space="preserve">Ping 网络诊断功能使用 f-string 拼接命令字符串并通过 shell=True 执行。通过输入 127.0.0.1; whoami，成功在服务器上执行了 whoami 命令并获取到 root 用户信息。多种 shell 元字符（;、|、&amp;&amp;、$()、反引号）均可用于注入。该漏洞将服务器完全暴露给攻击者，可执行任意系统命令、读取任意文件、植入后门、向内网发起攻击。修复方案为：使用参数列表方式替代字符串拼接（设置 shell=False），并对输入进行严格的 IP 地址/主机名格式验证（仅允许字母、数字、点、短横线）。</w:t>
            </w:r>
          </w:p>
          <w:p>
            <w:pPr/>
            <w:r>
              <w:rPr>
                <w:b/>
                <w:sz w:val="21"/>
              </w:rPr>
              <w:t xml:space="preserve">（七）XXE 漏洞分析</w:t>
            </w:r>
            <w:r>
              <w:br/>
            </w:r>
            <w:r>
              <w:rPr>
                <w:sz w:val="21"/>
              </w:rPr>
              <w:t xml:space="preserve">XML 数据导入功能使用正则表达式手动检测 &lt;!ENTITY ... SYSTEM "..."&gt; 声明中的文件路径，并调用 open() 读取本地文件替换实体引用。通过构造包含 &lt;!ENTITY xxe SYSTEM "file:///etc/passwd"&gt; 的 XML 荷载，成功在解析结果的 JSON 中获取了系统密码文件内容。本应禁用 DTD 外部实体处理，但代码却主动实现了实体引用展开功能。修复方案为：移除自定义的 ENTITY/SYSTEM 检测和文件读取代码，直接使用 Python 的 xml.etree.ElementTree 解析 XML（该模块在 Python 3 中默认不展开外部实体，遇到 DTD 声明会抛出 ParseError，安全拒绝）。</w:t>
            </w:r>
          </w:p>
          <w:p>
            <w:pPr/>
            <w:r>
              <w:rPr>
                <w:b/>
                <w:sz w:val="21"/>
              </w:rPr>
              <w:t xml:space="preserve">（八）漏洞报告撰写规范与实践</w:t>
            </w:r>
            <w:r>
              <w:br/>
            </w:r>
            <w:r>
              <w:rPr>
                <w:sz w:val="21"/>
              </w:rPr>
              <w:t xml:space="preserve">每次漏洞修复完成后均撰写了完整的漏洞分析报告，报告遵循统一的撰写规范：包含摘要、项目背景、测试环境、漏洞基本信息、漏洞概述、原理分析、发现过程、验证过程（含正常基线、异常测试、对照实验、成立依据）、影响分析、风险评级（含 CVSS 3.1 评分）、根因分析、修复方案（含紧急处置、根本修复、纵深防御、不推荐方案）、复测方案、安全加固建议、实验局限性、结论和参考资料共 16 个章节。所有报告均提供 Markdown 和 Word 双格式，随代码一同上传至 GitHub 仓库。</w:t>
            </w:r>
          </w:p>
          <w:p>
            <w:pPr/>
            <w:r>
              <w:rPr>
                <w:b/>
                <w:sz w:val="21"/>
              </w:rPr>
              <w:t xml:space="preserve">（九）版本控制与协作实践</w:t>
            </w:r>
            <w:r>
              <w:br/>
            </w:r>
            <w:r>
              <w:rPr>
                <w:sz w:val="21"/>
              </w:rPr>
              <w:t xml:space="preserve">整个实习项目的代码和文档均通过 Git 进行版本控制，托管于 GitHub 远程仓库。实习期间共计提交 20 余次 commit，每次提交遵循 Conventional Commits 规范（feat: 新增功能、fix: 修复漏洞、docs: 文档更新）。通过 git log 可完整追溯每次功能新增、漏洞修复和报告更新的历史记录，体现了标准化项目协作和版本管理能力。</w:t>
            </w:r>
          </w:p>
          <w:p>
            <w:pPr/>
            <w:r>
              <w:rPr>
                <w:b/>
                <w:sz w:val="21"/>
              </w:rPr>
              <w:t xml:space="preserve">（十）漏洞修复方法论总结</w:t>
            </w:r>
            <w:r>
              <w:br/>
            </w:r>
            <w:r>
              <w:rPr>
                <w:sz w:val="21"/>
              </w:rPr>
              <w:t xml:space="preserve">通过本次实习中六个漏洞的分析与修复实践，总结出一套通用的 Web 安全漏洞修复方法论：（1）输入校验——所有用户输入必须在服务端进行白名单校验，明确允许什么而非禁止什么；（2）参数化/非拼接——构建命令、查询时使用参数列表或参数化查询，避免字符串拼接；（3）最小权限——Web 进程不以 root 运行，仅授予完成任务所需的最小权限；（4）纵深防御——在同一漏洞上实施多层防护措施，避免单点失效；（5）安全编码规范——禁用危险函数模式（如 shell=True、字符串拼接命令），纳入代码审查必检项。</w:t>
            </w:r>
          </w:p>
          <w:p w14:paraId="5339FFD1">
            <w:r>
              <w:rPr>
                <w:rFonts w:hint="eastAsia"/>
                <w:b/>
                <w:bCs/>
                <w:sz w:val="28"/>
              </w:rPr>
              <w:t>三、实习总结（可另附报告）</w:t>
            </w:r>
            <w:r>
              <w:rPr>
                <w:rFonts w:hint="eastAsia"/>
                <w:sz w:val="28"/>
              </w:rPr>
              <w:t>：</w:t>
            </w:r>
          </w:p>
          <w:p w14:paraId="7317CE16">
            <w:r>
              <w:tab/>
            </w:r>
          </w:p>
          <w:p w14:paraId="734A2809"/>
          <w:p w14:paraId="7EEEDFD2"/>
          <w:p w14:paraId="2D0D738D"/>
          <w:p w14:paraId="7816B03A"/>
          <w:p w14:paraId="19739044"/>
          <w:p w14:paraId="01724976"/>
          <w:p w14:paraId="1878F5A8"/>
          <w:p w14:paraId="7374F3F0"/>
          <w:p w14:paraId="68BF3595"/>
          <w:p w14:paraId="0A77933D"/>
          <w:p w14:paraId="2858332C"/>
          <w:p w14:paraId="5AAFF8AC"/>
          <w:p w14:paraId="2BE3C896"/>
          <w:p w14:paraId="5C92DDC2"/>
          <w:p w14:paraId="09524F52"/>
          <w:p w14:paraId="35B9A939"/>
          <w:p w14:paraId="2E9DBE88"/>
          <w:p w14:paraId="74A3448A"/>
          <w:p w14:paraId="368959DE"/>
          <w:p w14:paraId="4E497DAD"/>
          <w:p w14:paraId="7467427E"/>
          <w:p w14:paraId="386EC426"/>
          <w:p w14:paraId="0C67C0B2"/>
          <w:p w14:paraId="03582CCF"/>
          <w:p w14:paraId="68BBA0E4"/>
          <w:p w14:paraId="011844AA"/>
          <w:p w14:paraId="1B0EEE93"/>
          <w:p w14:paraId="26E33574"/>
          <w:p w14:paraId="75865D05"/>
          <w:p w14:paraId="3EAB8203"/>
          <w:p w14:paraId="54A7929E"/>
          <w:p w14:paraId="3BB095F5"/>
          <w:p w14:paraId="0075BAB0"/>
          <w:p w14:paraId="3F87ADE1"/>
          <w:p w14:paraId="53267691"/>
          <w:p w14:paraId="059F7837"/>
          <w:p>
            <w:pPr/>
            <w:r>
              <w:rPr>
                <w:b/>
                <w:sz w:val="21"/>
              </w:rPr>
              <w:t xml:space="preserve">（一）实习总体回顾</w:t>
            </w:r>
            <w:r>
              <w:br/>
            </w:r>
            <w:r>
              <w:rPr>
                <w:sz w:val="21"/>
              </w:rPr>
              <w:t xml:space="preserve">通过本次两周的网络安全实践训练，我完整经历了从 Web 应用构建到安全漏洞分析再到安全修复的全流程。在项目实施过程中，我先后处理了六类典型的 Web 安全漏洞：路径遍历、跨站请求伪造、越权访问、服务端请求伪造、命令注入和 XML 外部实体注入。每一个漏洞的分析都遵循了关键证据驱动的方法：先确认漏洞存在、分析根本原因、设计修复方案、验证修复效果。这种方法让我对 Web 安全的理解不仅停留在理论层面，而是真正达到了能够独立发现、分析、修复漏洞的实战水平。</w:t>
            </w:r>
          </w:p>
          <w:p>
            <w:pPr/>
            <w:r>
              <w:rPr>
                <w:b/>
                <w:sz w:val="21"/>
              </w:rPr>
              <w:t xml:space="preserve">（二）技术收获与思考</w:t>
            </w:r>
            <w:r>
              <w:br/>
            </w:r>
            <w:r>
              <w:rPr>
                <w:sz w:val="21"/>
              </w:rPr>
              <w:t xml:space="preserve">在技术层面，我深刻理解了“永不信任用户输入”这一安全原则的具体含义。在多个功能的实现中，从表面看每个安全缺陷的修复方式各不相同，但其核心思想都是相同的：将用户提交的数据视为不可信的。具体来说，路径遍历的修复是对路径进行规范化处理；CSRF 的修复是添加与 session 绑定的随机 Token；越权的修复是从 session 而非表单获取用户身份；SSRF 的修复是对协议和 IP 地址进行白名单校验；命令注入的修复是用参数列表替代字符串拼接；XXE 的修复是禁用 DTD 外部实体处理。这些修复方案的共同点是：都是在服务端层面对用户输入进行可信的验证和处理，而非依赖前端或客户端的校验。</w:t>
            </w:r>
          </w:p>
          <w:p>
            <w:pPr/>
            <w:r>
              <w:rPr>
                <w:b/>
                <w:sz w:val="21"/>
              </w:rPr>
              <w:t xml:space="preserve">（三）对安全开发流程的思考</w:t>
            </w:r>
            <w:r>
              <w:br/>
            </w:r>
            <w:r>
              <w:rPr>
                <w:sz w:val="21"/>
              </w:rPr>
              <w:t xml:space="preserve">通过本次实习，我认识到安全应该是软件开发生命周期中的一个环节，而不是产品上线前的一个检查点。从需求阶段的威胁建模，到设计阶段的安全架构，到开发阶段的安全编码，到测试阶段的安全测试，再到运营阶段的安全监控，安全应该贯穿始终。在实际项目开发中，缺少安全意识的代码可能导致严重的安全事故，而安全漏洞的修复成本在产品上线后会翻倍增长。因此，将安全融入开发流程（DevSecOps），实现安全措施的自动化和左移，是现代软件开发的必然趋势。</w:t>
            </w:r>
          </w:p>
          <w:p>
            <w:pPr/>
            <w:r>
              <w:rPr>
                <w:b/>
                <w:sz w:val="21"/>
              </w:rPr>
              <w:t xml:space="preserve">（四）未来学习方向</w:t>
            </w:r>
            <w:r>
              <w:br/>
            </w:r>
            <w:r>
              <w:rPr>
                <w:sz w:val="21"/>
              </w:rPr>
              <w:t xml:space="preserve">通过本次实习，我认识到网络安全是一个广泛且深刻的领域，本次实习涵盖的 Web 安全仅是其中的一个分支。在未来的学习中，我希望能够进一步深入了解以下方向：API 安全、微服务架构下的安全韩径、云安全、无密码认证、AI 辅助安全测试。同时，我也认识到安全从业者不仅需要技术能力，还需要法律、合规、伦理等方面的素养。本次实习中强调的“仅在授权环境中进行测试”和“严守三部网络安全相关法律”，就是对这一点的最好说明。</w:t>
            </w:r>
          </w:p>
          <w:p w14:paraId="51D379CC">
            <w:pPr>
              <w:rPr>
                <w:b/>
                <w:bCs/>
                <w:sz w:val="24"/>
                <w:szCs w:val="28"/>
              </w:rPr>
            </w:pPr>
            <w:r>
              <w:rPr>
                <w:rFonts w:hint="eastAsia"/>
                <w:b/>
                <w:bCs/>
                <w:sz w:val="24"/>
                <w:szCs w:val="28"/>
              </w:rPr>
              <w:t>实习成绩评定：</w:t>
            </w:r>
            <w:r>
              <w:rPr>
                <w:rFonts w:hint="eastAsia"/>
                <w:b/>
                <w:bCs/>
                <w:sz w:val="24"/>
                <w:szCs w:val="28"/>
                <w:u w:val="single"/>
              </w:rPr>
              <w:t>　　</w:t>
            </w:r>
            <w:bookmarkStart w:id="0" w:name="_GoBack"/>
            <w:bookmarkEnd w:id="0"/>
            <w:r>
              <w:rPr>
                <w:rFonts w:hint="eastAsia"/>
                <w:b/>
                <w:bCs/>
                <w:sz w:val="24"/>
                <w:szCs w:val="28"/>
                <w:u w:val="single"/>
              </w:rPr>
              <w:t>　　　</w:t>
            </w:r>
            <w:r>
              <w:rPr>
                <w:rFonts w:hint="eastAsia"/>
                <w:b/>
                <w:bCs/>
                <w:sz w:val="24"/>
                <w:szCs w:val="28"/>
              </w:rPr>
              <w:t>　　　　　</w:t>
            </w:r>
          </w:p>
          <w:p w14:paraId="38F45A35">
            <w:pPr>
              <w:rPr>
                <w:b/>
                <w:bCs/>
              </w:rPr>
            </w:pPr>
          </w:p>
          <w:p w14:paraId="11356797">
            <w:pPr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</w:rPr>
              <w:t>　　　　　　　　　　　　　</w:t>
            </w:r>
            <w:r>
              <w:rPr>
                <w:rFonts w:hint="eastAsia"/>
                <w:b/>
                <w:bCs/>
                <w:sz w:val="24"/>
              </w:rPr>
              <w:t>指导教师签名：　　　　　 　  年　　月　　日</w:t>
            </w:r>
          </w:p>
          <w:p w14:paraId="48D3D882">
            <w:pPr>
              <w:rPr>
                <w:sz w:val="24"/>
              </w:rPr>
            </w:pPr>
          </w:p>
        </w:tc>
      </w:tr>
      <w:tr w14:paraId="75AB4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472A7749">
            <w:pPr>
              <w:rPr>
                <w:sz w:val="24"/>
              </w:rPr>
            </w:pPr>
          </w:p>
        </w:tc>
      </w:tr>
    </w:tbl>
    <w:p w14:paraId="30C5B242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标宋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11A3"/>
    <w:rsid w:val="00014C75"/>
    <w:rsid w:val="00064C3B"/>
    <w:rsid w:val="0012306C"/>
    <w:rsid w:val="00167EDE"/>
    <w:rsid w:val="00186277"/>
    <w:rsid w:val="001F3C7C"/>
    <w:rsid w:val="00255D16"/>
    <w:rsid w:val="0025635E"/>
    <w:rsid w:val="00274EA9"/>
    <w:rsid w:val="002A7F2D"/>
    <w:rsid w:val="00316A1D"/>
    <w:rsid w:val="00341D3A"/>
    <w:rsid w:val="003A0403"/>
    <w:rsid w:val="003C4C2E"/>
    <w:rsid w:val="003E3BCF"/>
    <w:rsid w:val="00462113"/>
    <w:rsid w:val="004A21D0"/>
    <w:rsid w:val="004E5D52"/>
    <w:rsid w:val="00522E64"/>
    <w:rsid w:val="005311A3"/>
    <w:rsid w:val="005A6BB6"/>
    <w:rsid w:val="005D6FE5"/>
    <w:rsid w:val="00615B46"/>
    <w:rsid w:val="00647C97"/>
    <w:rsid w:val="00700EDB"/>
    <w:rsid w:val="007430E6"/>
    <w:rsid w:val="00791919"/>
    <w:rsid w:val="007A3766"/>
    <w:rsid w:val="007B31DA"/>
    <w:rsid w:val="007D099B"/>
    <w:rsid w:val="008075B7"/>
    <w:rsid w:val="00875609"/>
    <w:rsid w:val="00896367"/>
    <w:rsid w:val="00951B8E"/>
    <w:rsid w:val="00980D15"/>
    <w:rsid w:val="00994083"/>
    <w:rsid w:val="0099670A"/>
    <w:rsid w:val="009E21C5"/>
    <w:rsid w:val="00A50A29"/>
    <w:rsid w:val="00AD1916"/>
    <w:rsid w:val="00AD3878"/>
    <w:rsid w:val="00B42AB4"/>
    <w:rsid w:val="00BA0CEA"/>
    <w:rsid w:val="00BF0B1E"/>
    <w:rsid w:val="00C156A3"/>
    <w:rsid w:val="00C15790"/>
    <w:rsid w:val="00CA4F96"/>
    <w:rsid w:val="00CF2110"/>
    <w:rsid w:val="00D17E1C"/>
    <w:rsid w:val="00D30F9F"/>
    <w:rsid w:val="00D57298"/>
    <w:rsid w:val="00D72FB5"/>
    <w:rsid w:val="00D777F2"/>
    <w:rsid w:val="00D87266"/>
    <w:rsid w:val="00DA391A"/>
    <w:rsid w:val="00EF1BBC"/>
    <w:rsid w:val="00FE3204"/>
    <w:rsid w:val="0A7C5A7B"/>
    <w:rsid w:val="0EFF4FDF"/>
    <w:rsid w:val="194E0763"/>
    <w:rsid w:val="1C9C0D32"/>
    <w:rsid w:val="241B61B5"/>
    <w:rsid w:val="2D053838"/>
    <w:rsid w:val="2E2E327E"/>
    <w:rsid w:val="4E126D6B"/>
    <w:rsid w:val="759E34ED"/>
    <w:rsid w:val="7DAC4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7">
    <w:name w:val="目录3"/>
    <w:basedOn w:val="1"/>
    <w:qFormat/>
    <w:uiPriority w:val="0"/>
    <w:pPr>
      <w:widowControl/>
      <w:tabs>
        <w:tab w:val="left" w:leader="dot" w:pos="7370"/>
      </w:tabs>
      <w:spacing w:line="317" w:lineRule="atLeast"/>
      <w:ind w:firstLine="419"/>
      <w:textAlignment w:val="baseline"/>
    </w:pPr>
    <w:rPr>
      <w:color w:val="000000"/>
      <w:kern w:val="0"/>
      <w:szCs w:val="20"/>
      <w:u w:color="000000"/>
    </w:rPr>
  </w:style>
  <w:style w:type="character" w:customStyle="1" w:styleId="8">
    <w:name w:val="页眉 字符"/>
    <w:link w:val="4"/>
    <w:qFormat/>
    <w:uiPriority w:val="0"/>
    <w:rPr>
      <w:kern w:val="2"/>
      <w:sz w:val="18"/>
      <w:szCs w:val="18"/>
    </w:rPr>
  </w:style>
  <w:style w:type="character" w:customStyle="1" w:styleId="9">
    <w:name w:val="页脚 字符"/>
    <w:link w:val="3"/>
    <w:qFormat/>
    <w:uiPriority w:val="0"/>
    <w:rPr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emf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63E65-46D0-4548-B5D4-B2DD0273740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scu</Company>
  <Pages>4</Pages>
  <Words>567</Words>
  <Characters>612</Characters>
  <Lines>17</Lines>
  <Paragraphs>17</Paragraphs>
  <TotalTime>37</TotalTime>
  <ScaleCrop>false</ScaleCrop>
  <LinksUpToDate>false</LinksUpToDate>
  <CharactersWithSpaces>881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2025-05-20T03:46:00Z</dcterms:created>
  <dc:creator>scu</dc:creator>
  <cp:lastModifiedBy>梦雨流转</cp:lastModifiedBy>
  <cp:lastPrinted>2021-06-21T07:21:00Z</cp:lastPrinted>
  <dcterms:modified xsi:type="dcterms:W3CDTF">2026-07-17T07:48:05Z</dcterms:modified>
  <dc:title>附件４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eyJoZGlkIjoiMTg3YjRkYTc0Zjg0MThhZTk2YTg3ODAxZTIyZWM5ODgiLCJ1c2VySWQiOiIxMzkzMTI1NzYxIn0=</vt:lpwstr>
  </property>
  <property fmtid="{D5CDD505-2E9C-101B-9397-08002B2CF9AE}" pid="4" name="ICV">
    <vt:lpwstr>3934018522F842BDB132DA09DA4AF4BD_13</vt:lpwstr>
  </property>
</Properties>
</file>