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sz w:val="21"/>
        </w:rPr>
        <w:t>周年庆宝箱需求</w:t>
      </w:r>
    </w:p>
    <w:p>
      <w:r>
        <w:rPr>
          <w:rFonts w:ascii="Microsoft YaHei" w:hAnsi="Microsoft YaHei"/>
          <w:sz w:val="21"/>
        </w:rPr>
        <w:t>活动开启且玩家达到 10 级后，可在周年庆入口开启宝箱。</w:t>
      </w:r>
    </w:p>
    <w:p>
      <w:r>
        <w:rPr>
          <w:rFonts w:ascii="Microsoft YaHei" w:hAnsi="Microsoft YaHei"/>
          <w:sz w:val="21"/>
        </w:rPr>
        <w:t>首次开启获得 100 金币；当天重复开启不再发奖；每日 00:00 刷新。</w:t>
      </w:r>
    </w:p>
    <w:p>
      <w:r>
        <w:rPr>
          <w:rFonts w:ascii="Microsoft YaHei" w:hAnsi="Microsoft YaHei"/>
          <w:sz w:val="21"/>
        </w:rPr>
        <w:t>参考链接仅登记不访问：https://example.invalid/design-detail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预期</w:t>
            </w:r>
          </w:p>
        </w:tc>
      </w:tr>
      <w:tr>
        <w:tc>
          <w:tcPr>
            <w:tcW w:type="dxa" w:w="2880"/>
          </w:tcPr>
          <w:p>
            <w:r>
              <w:t>首次</w:t>
            </w:r>
          </w:p>
        </w:tc>
        <w:tc>
          <w:tcPr>
            <w:tcW w:type="dxa" w:w="2880"/>
          </w:tcPr>
          <w:p>
            <w:r>
              <w:t>开启宝箱</w:t>
            </w:r>
          </w:p>
        </w:tc>
        <w:tc>
          <w:tcPr>
            <w:tcW w:type="dxa" w:w="2880"/>
          </w:tcPr>
          <w:p>
            <w:r>
              <w:t>获得 100 金币</w:t>
            </w:r>
          </w:p>
        </w:tc>
      </w:tr>
      <w:tr>
        <w:tc>
          <w:tcPr>
            <w:tcW w:type="dxa" w:w="2880"/>
          </w:tcPr>
          <w:p>
            <w:r>
              <w:t>重复</w:t>
            </w:r>
          </w:p>
        </w:tc>
        <w:tc>
          <w:tcPr>
            <w:tcW w:type="dxa" w:w="2880"/>
          </w:tcPr>
          <w:p>
            <w:r>
              <w:t>再次开启</w:t>
            </w:r>
          </w:p>
        </w:tc>
        <w:tc>
          <w:tcPr>
            <w:tcW w:type="dxa" w:w="2880"/>
          </w:tcPr>
          <w:p>
            <w:r>
              <w:t>不重复发奖</w:t>
            </w:r>
          </w:p>
        </w:tc>
      </w:tr>
      <w:tr>
        <w:tc>
          <w:tcPr>
            <w:tcW w:type="dxa" w:w="2880"/>
          </w:tcPr>
          <w:p>
            <w:r>
              <w:t>背包已满</w:t>
            </w:r>
          </w:p>
        </w:tc>
        <w:tc>
          <w:tcPr>
            <w:tcW w:type="dxa" w:w="2880"/>
          </w:tcPr>
          <w:p>
            <w:r>
              <w:t>开启宝箱</w:t>
            </w:r>
          </w:p>
        </w:tc>
        <w:tc>
          <w:tcPr>
            <w:tcW w:type="dxa" w:w="2880"/>
          </w:tcPr>
          <w:p>
            <w:r>
              <w:t>奖励进入邮件</w:t>
            </w:r>
          </w:p>
        </w:tc>
      </w:tr>
    </w:tbl>
    <w:p>
      <w:r>
        <w:rPr>
          <w:rFonts w:ascii="Microsoft YaHei" w:hAnsi="Microsoft YaHei"/>
          <w:sz w:val="21"/>
        </w:rPr>
        <w:drawing>
          <wp:inline xmlns:a="http://schemas.openxmlformats.org/drawingml/2006/main" xmlns:pic="http://schemas.openxmlformats.org/drawingml/2006/picture">
            <wp:extent cx="5303520" cy="2093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-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3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21"/>
        </w:rPr>
        <w:t>图 1：宝箱奖励状态示意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本地测试夹具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SAMO 周年庆策划案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