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00" w:line="520" w:lineRule="exact"/>
        <w:jc w:val="center"/>
      </w:pPr>
      <w:r>
        <w:rPr>
          <w:rFonts w:ascii="Times New Roman" w:hAnsi="Times New Roman" w:eastAsia="黑体" w:cs="Times New Roman"/>
          <w:b/>
          <w:i w:val="0"/>
          <w:color w:val="000000"/>
          <w:sz w:val="36"/>
        </w:rPr>
        <w:t>SafeVault 个人私密密码保险箱系统</w:t>
        <w:br/>
        <w:t>全流程详细设计说明书 (SDD)</w:t>
      </w:r>
    </w:p>
    <w:p>
      <w:pPr>
        <w:spacing w:before="0" w:after="400"/>
        <w:jc w:val="center"/>
      </w:pPr>
      <w:r>
        <w:rPr>
          <w:rFonts w:ascii="Times New Roman" w:hAnsi="Times New Roman" w:eastAsia="宋体" w:cs="Times New Roman"/>
          <w:b/>
          <w:i w:val="0"/>
          <w:color w:val="000000"/>
          <w:sz w:val="26"/>
        </w:rPr>
        <w:t>—— 零知识密码学防线、SPEC 规格工程与机能战术视觉规范实操蓝图</w:t>
      </w:r>
    </w:p>
    <w:p>
      <w:pPr>
        <w:spacing w:before="240" w:after="120" w:line="400" w:lineRule="exact"/>
        <w:ind w:firstLine="480"/>
      </w:pPr>
      <w:r>
        <w:rPr>
          <w:rFonts w:ascii="Times New Roman" w:hAnsi="Times New Roman" w:eastAsia="黑体" w:cs="Times New Roman"/>
          <w:b/>
          <w:i w:val="0"/>
          <w:color w:val="000000"/>
          <w:sz w:val="21"/>
        </w:rPr>
        <w:t>摘  要：</w:t>
      </w:r>
      <w:r>
        <w:rPr>
          <w:rFonts w:ascii="Times New Roman" w:hAnsi="Times New Roman" w:eastAsia="宋体" w:cs="Times New Roman"/>
          <w:b w:val="0"/>
          <w:i w:val="0"/>
          <w:color w:val="000000"/>
          <w:sz w:val="21"/>
        </w:rPr>
        <w:t>随着个人互联网数字资产的爆发式增长，中心化云端数据泄露与跨站弱口令复用已演变为不可忽视的安全隐患。本项目严格遵循《基于大语言模型的软件与网站工程全流程精细化实操范式及 Skill 架构体系》，深度融合阶段零 SPEC-First 规格驱动、垂直切片研发飞轮、零知识密码学与机能战术科技美学。系统基于原生 Web Crypto API，采用 PBKDF2-SHA256（100,000 轮哈希拉伸迭代）完成高强度密钥派生，结合 AES-GCM-256 独立 12 字节（96-bit）密码学安全初始向量实现全敏感字段强认证加密，确保存储介质 100% 密文落盘且杜绝明文上云。在交互与视觉层面，系统像素级复现了参考原型中‘据点设施管理终端’的白底机能战术工业风（明日方舟/终末地设计语言），涵盖 01~06 竖向编号菜单、HUD 雷达看板、荧光酸性黄绿前缀标线、空槽位 [+] 建造卡片与斜切推进按钮。针对家庭私有化运行诉求，提供体积小于 25MB 的 Alpine-Nginx Docker 极简容器化编排及 PWA 跨端全屏独立运行能力，为个人私密数据资产的终极安全构筑了兼具金融级底座与工业级秩序美的坚实护盾。</w:t>
      </w:r>
    </w:p>
    <w:p>
      <w:pPr>
        <w:spacing w:before="0" w:after="360" w:line="400" w:lineRule="exact"/>
        <w:ind w:firstLine="480"/>
      </w:pPr>
      <w:r>
        <w:rPr>
          <w:rFonts w:ascii="Times New Roman" w:hAnsi="Times New Roman" w:eastAsia="黑体" w:cs="Times New Roman"/>
          <w:b/>
          <w:i w:val="0"/>
          <w:color w:val="000000"/>
          <w:sz w:val="21"/>
        </w:rPr>
        <w:t>关键词：</w:t>
      </w:r>
      <w:r>
        <w:rPr>
          <w:rFonts w:ascii="Times New Roman" w:hAnsi="Times New Roman" w:eastAsia="宋体" w:cs="Times New Roman"/>
          <w:b w:val="0"/>
          <w:i w:val="0"/>
          <w:color w:val="000000"/>
          <w:sz w:val="21"/>
        </w:rPr>
        <w:t>密码管理器；零知识体系；Web Crypto API；PBKDF2；AES-GCM-256；机能战术UI；NAS私有化；PWA</w:t>
      </w:r>
    </w:p>
    <w:p>
      <w:pPr>
        <w:spacing w:before="360" w:after="160" w:line="480" w:lineRule="exact"/>
      </w:pPr>
      <w:r>
        <w:rPr>
          <w:rFonts w:ascii="Times New Roman" w:hAnsi="Times New Roman" w:eastAsia="黑体" w:cs="Times New Roman"/>
          <w:b/>
          <w:i w:val="0"/>
          <w:color w:val="000000"/>
          <w:sz w:val="28"/>
        </w:rPr>
        <w:t>1 系统概述与设计愿景</w:t>
      </w:r>
    </w:p>
    <w:p>
      <w:pPr>
        <w:spacing w:before="0" w:after="80" w:line="400" w:lineRule="exact"/>
        <w:ind w:firstLine="480"/>
      </w:pPr>
      <w:r>
        <w:rPr>
          <w:rFonts w:ascii="Times New Roman" w:hAnsi="Times New Roman" w:eastAsia="宋体" w:cs="Times New Roman"/>
          <w:b w:val="0"/>
          <w:i w:val="0"/>
          <w:color w:val="000000"/>
          <w:sz w:val="24"/>
        </w:rPr>
        <w:t>1.1 编写目的：本文档旨在作为 SafeVault 个人私密凭据管理终端的完整技术蓝图，全面覆盖系统在需求边界、密码学协议、视觉设计代币、核心数据契约、详细模块算法以及家用 NAS 私有化部署等全生命周期的设计细节，为系统的自主实现、安全审计与持续演进提供最高准则。</w:t>
      </w:r>
    </w:p>
    <w:p>
      <w:pPr>
        <w:spacing w:before="0" w:after="80" w:line="400" w:lineRule="exact"/>
        <w:ind w:firstLine="480"/>
      </w:pPr>
      <w:r>
        <w:rPr>
          <w:rFonts w:ascii="Times New Roman" w:hAnsi="Times New Roman" w:eastAsia="宋体" w:cs="Times New Roman"/>
          <w:b w:val="0"/>
          <w:i w:val="0"/>
          <w:color w:val="000000"/>
          <w:sz w:val="24"/>
        </w:rPr>
        <w:t>1.2 行业现状与核心痛点：个人数字凭据管理面临四大致命风险：一是商业中心化云平台频繁遭遇黑客攻击引发大规模拖库；二是跨站弱密码复用引发的撞库连环危机；三是操作系统后台恶意驻留程序通过监听剪贴板窃取明文凭据；四是现有开源密码工具界面死板沉闷、交互粗糙，缺乏人机工效与科技秩序感。</w:t>
      </w:r>
    </w:p>
    <w:p>
      <w:pPr>
        <w:spacing w:before="0" w:after="80" w:line="400" w:lineRule="exact"/>
        <w:ind w:firstLine="480"/>
      </w:pPr>
      <w:r>
        <w:rPr>
          <w:rFonts w:ascii="Times New Roman" w:hAnsi="Times New Roman" w:eastAsia="宋体" w:cs="Times New Roman"/>
          <w:b w:val="0"/>
          <w:i w:val="0"/>
          <w:color w:val="000000"/>
          <w:sz w:val="24"/>
        </w:rPr>
        <w:t>1.3 系统定位与设计哲学：SafeVault 确立‘零知可信、资产自持、战术秩序、随时可用’的设计哲学。所有数据落盘 100% 仅存密文，用户主密码绝不落盘；完全剔除商业公网依赖，在家庭 NAS 局域网内开箱即用；以‘据点管理’般的高维度秩序掌控感，重塑密码管理的人机交互体验。</w:t>
      </w:r>
    </w:p>
    <w:p>
      <w:pPr>
        <w:spacing w:before="360" w:after="160" w:line="480" w:lineRule="exact"/>
      </w:pPr>
      <w:r>
        <w:rPr>
          <w:rFonts w:ascii="Times New Roman" w:hAnsi="Times New Roman" w:eastAsia="黑体" w:cs="Times New Roman"/>
          <w:b/>
          <w:i w:val="0"/>
          <w:color w:val="000000"/>
          <w:sz w:val="28"/>
        </w:rPr>
        <w:t>2 阶段零：需求工程与规格对齐 (SPEC-First 演练)</w:t>
      </w:r>
    </w:p>
    <w:p>
      <w:pPr>
        <w:spacing w:before="0" w:after="80" w:line="400" w:lineRule="exact"/>
        <w:ind w:firstLine="480"/>
      </w:pPr>
      <w:r>
        <w:rPr>
          <w:rFonts w:ascii="Times New Roman" w:hAnsi="Times New Roman" w:eastAsia="宋体" w:cs="Times New Roman"/>
          <w:b w:val="0"/>
          <w:i w:val="0"/>
          <w:color w:val="000000"/>
          <w:sz w:val="24"/>
        </w:rPr>
        <w:t>根据规范指南第 2 章‘阶段零：需求工程与规格定义’铁律，系统研发严禁在需求模糊时直接编写业务代码，必须通过人机反向追问与架构对齐，最终沉淀出《系统需求规格说明书》（SPEC.md）作为最高宪法。</w:t>
      </w:r>
    </w:p>
    <w:p>
      <w:pPr>
        <w:spacing w:before="240" w:after="80" w:line="400" w:lineRule="exact"/>
      </w:pPr>
      <w:r>
        <w:rPr>
          <w:rFonts w:ascii="Times New Roman" w:hAnsi="Times New Roman" w:eastAsia="黑体" w:cs="Times New Roman"/>
          <w:b/>
          <w:i w:val="0"/>
          <w:color w:val="000000"/>
          <w:sz w:val="24"/>
        </w:rPr>
        <w:t>2.1 关键架构决策记录 (ADR)</w:t>
      </w:r>
    </w:p>
    <w:p>
      <w:pPr>
        <w:spacing w:before="200" w:after="80"/>
        <w:jc w:val="center"/>
      </w:pPr>
      <w:r>
        <w:rPr>
          <w:rFonts w:ascii="Times New Roman" w:hAnsi="Times New Roman" w:eastAsia="黑体" w:cs="Times New Roman"/>
          <w:b/>
          <w:i w:val="0"/>
          <w:color w:val="000000"/>
          <w:sz w:val="21"/>
        </w:rPr>
        <w:t>表 1  SafeVault 系统关键架构决策记录 (ADR)</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1440"/>
            <w:tcBorders>
              <w:bottom w:val="single" w:sz="6" w:space="0" w:color="000000"/>
            </w:tcBorders>
          </w:tcPr>
          <w:p>
            <w:pPr>
              <w:spacing w:line="320" w:lineRule="exact"/>
              <w:jc w:val="center"/>
            </w:pPr>
            <w:r>
              <w:rPr>
                <w:rFonts w:ascii="Times New Roman" w:hAnsi="Times New Roman" w:eastAsia="黑体" w:cs="Times New Roman"/>
                <w:b/>
                <w:i w:val="0"/>
                <w:color w:val="000000"/>
                <w:sz w:val="20"/>
              </w:rPr>
              <w:t>决策编号</w:t>
            </w:r>
          </w:p>
        </w:tc>
        <w:tc>
          <w:tcPr>
            <w:tcW w:type="dxa" w:w="2016"/>
            <w:tcBorders>
              <w:bottom w:val="single" w:sz="6" w:space="0" w:color="000000"/>
            </w:tcBorders>
          </w:tcPr>
          <w:p>
            <w:pPr>
              <w:spacing w:line="320" w:lineRule="exact"/>
              <w:jc w:val="center"/>
            </w:pPr>
            <w:r>
              <w:rPr>
                <w:rFonts w:ascii="Times New Roman" w:hAnsi="Times New Roman" w:eastAsia="黑体" w:cs="Times New Roman"/>
                <w:b/>
                <w:i w:val="0"/>
                <w:color w:val="000000"/>
                <w:sz w:val="20"/>
              </w:rPr>
              <w:t>决策主题</w:t>
            </w:r>
          </w:p>
        </w:tc>
        <w:tc>
          <w:tcPr>
            <w:tcW w:type="dxa" w:w="3312"/>
            <w:tcBorders>
              <w:bottom w:val="single" w:sz="6" w:space="0" w:color="000000"/>
            </w:tcBorders>
          </w:tcPr>
          <w:p>
            <w:pPr>
              <w:spacing w:line="320" w:lineRule="exact"/>
              <w:jc w:val="center"/>
            </w:pPr>
            <w:r>
              <w:rPr>
                <w:rFonts w:ascii="Times New Roman" w:hAnsi="Times New Roman" w:eastAsia="黑体" w:cs="Times New Roman"/>
                <w:b/>
                <w:i w:val="0"/>
                <w:color w:val="000000"/>
                <w:sz w:val="20"/>
              </w:rPr>
              <w:t>决策方案结论</w:t>
            </w:r>
          </w:p>
        </w:tc>
        <w:tc>
          <w:tcPr>
            <w:tcW w:type="dxa" w:w="2592"/>
            <w:tcBorders>
              <w:bottom w:val="single" w:sz="6" w:space="0" w:color="000000"/>
            </w:tcBorders>
          </w:tcPr>
          <w:p>
            <w:pPr>
              <w:spacing w:line="320" w:lineRule="exact"/>
              <w:jc w:val="center"/>
            </w:pPr>
            <w:r>
              <w:rPr>
                <w:rFonts w:ascii="Times New Roman" w:hAnsi="Times New Roman" w:eastAsia="黑体" w:cs="Times New Roman"/>
                <w:b/>
                <w:i w:val="0"/>
                <w:color w:val="000000"/>
                <w:sz w:val="20"/>
              </w:rPr>
              <w:t>核心依据与技术权衡</w:t>
            </w:r>
          </w:p>
        </w:tc>
      </w:tr>
      <w:tr>
        <w:tc>
          <w:tcPr>
            <w:tcW w:type="dxa" w:w="1440"/>
          </w:tcPr>
          <w:p>
            <w:pPr>
              <w:spacing w:line="300" w:lineRule="exact"/>
              <w:jc w:val="center"/>
            </w:pPr>
            <w:r>
              <w:rPr>
                <w:rFonts w:ascii="Times New Roman" w:hAnsi="Times New Roman" w:eastAsia="宋体" w:cs="Times New Roman"/>
                <w:b w:val="0"/>
                <w:i w:val="0"/>
                <w:color w:val="000000"/>
                <w:sz w:val="19"/>
              </w:rPr>
              <w:t>ADR-01</w:t>
            </w:r>
          </w:p>
        </w:tc>
        <w:tc>
          <w:tcPr>
            <w:tcW w:type="dxa" w:w="2016"/>
          </w:tcPr>
          <w:p>
            <w:pPr>
              <w:spacing w:line="300" w:lineRule="exact"/>
              <w:jc w:val="center"/>
            </w:pPr>
            <w:r>
              <w:rPr>
                <w:rFonts w:ascii="Times New Roman" w:hAnsi="Times New Roman" w:eastAsia="宋体" w:cs="Times New Roman"/>
                <w:b w:val="0"/>
                <w:i w:val="0"/>
                <w:color w:val="000000"/>
                <w:sz w:val="19"/>
              </w:rPr>
              <w:t>终端形态选型</w:t>
            </w:r>
          </w:p>
        </w:tc>
        <w:tc>
          <w:tcPr>
            <w:tcW w:type="dxa" w:w="3312"/>
          </w:tcPr>
          <w:p>
            <w:pPr>
              <w:spacing w:line="300" w:lineRule="exact"/>
              <w:jc w:val="left"/>
            </w:pPr>
            <w:r>
              <w:rPr>
                <w:rFonts w:ascii="Times New Roman" w:hAnsi="Times New Roman" w:eastAsia="宋体" w:cs="Times New Roman"/>
                <w:b w:val="0"/>
                <w:i w:val="0"/>
                <w:color w:val="000000"/>
                <w:sz w:val="19"/>
              </w:rPr>
              <w:t>响应式 Web PWA (渐进式Web应用)</w:t>
            </w:r>
          </w:p>
        </w:tc>
        <w:tc>
          <w:tcPr>
            <w:tcW w:type="dxa" w:w="2592"/>
          </w:tcPr>
          <w:p>
            <w:pPr>
              <w:spacing w:line="300" w:lineRule="exact"/>
              <w:jc w:val="left"/>
            </w:pPr>
            <w:r>
              <w:rPr>
                <w:rFonts w:ascii="Times New Roman" w:hAnsi="Times New Roman" w:eastAsia="宋体" w:cs="Times New Roman"/>
                <w:b w:val="0"/>
                <w:i w:val="0"/>
                <w:color w:val="000000"/>
                <w:sz w:val="19"/>
              </w:rPr>
              <w:t>兼顾跨平台能力与极速开发，可直接部署在NAS，手机可直接添加到主屏幕全屏运行</w:t>
            </w:r>
          </w:p>
        </w:tc>
      </w:tr>
      <w:tr>
        <w:tc>
          <w:tcPr>
            <w:tcW w:type="dxa" w:w="1440"/>
          </w:tcPr>
          <w:p>
            <w:pPr>
              <w:spacing w:line="300" w:lineRule="exact"/>
              <w:jc w:val="center"/>
            </w:pPr>
            <w:r>
              <w:rPr>
                <w:rFonts w:ascii="Times New Roman" w:hAnsi="Times New Roman" w:eastAsia="宋体" w:cs="Times New Roman"/>
                <w:b w:val="0"/>
                <w:i w:val="0"/>
                <w:color w:val="000000"/>
                <w:sz w:val="19"/>
              </w:rPr>
              <w:t>ADR-02</w:t>
            </w:r>
          </w:p>
        </w:tc>
        <w:tc>
          <w:tcPr>
            <w:tcW w:type="dxa" w:w="2016"/>
          </w:tcPr>
          <w:p>
            <w:pPr>
              <w:spacing w:line="300" w:lineRule="exact"/>
              <w:jc w:val="center"/>
            </w:pPr>
            <w:r>
              <w:rPr>
                <w:rFonts w:ascii="Times New Roman" w:hAnsi="Times New Roman" w:eastAsia="宋体" w:cs="Times New Roman"/>
                <w:b w:val="0"/>
                <w:i w:val="0"/>
                <w:color w:val="000000"/>
                <w:sz w:val="19"/>
              </w:rPr>
              <w:t>密码学底层标准</w:t>
            </w:r>
          </w:p>
        </w:tc>
        <w:tc>
          <w:tcPr>
            <w:tcW w:type="dxa" w:w="3312"/>
          </w:tcPr>
          <w:p>
            <w:pPr>
              <w:spacing w:line="300" w:lineRule="exact"/>
              <w:jc w:val="left"/>
            </w:pPr>
            <w:r>
              <w:rPr>
                <w:rFonts w:ascii="Times New Roman" w:hAnsi="Times New Roman" w:eastAsia="宋体" w:cs="Times New Roman"/>
                <w:b w:val="0"/>
                <w:i w:val="0"/>
                <w:color w:val="000000"/>
                <w:sz w:val="19"/>
              </w:rPr>
              <w:t>浏览器标准原生 Web Crypto API</w:t>
            </w:r>
          </w:p>
        </w:tc>
        <w:tc>
          <w:tcPr>
            <w:tcW w:type="dxa" w:w="2592"/>
          </w:tcPr>
          <w:p>
            <w:pPr>
              <w:spacing w:line="300" w:lineRule="exact"/>
              <w:jc w:val="left"/>
            </w:pPr>
            <w:r>
              <w:rPr>
                <w:rFonts w:ascii="Times New Roman" w:hAnsi="Times New Roman" w:eastAsia="宋体" w:cs="Times New Roman"/>
                <w:b w:val="0"/>
                <w:i w:val="0"/>
                <w:color w:val="000000"/>
                <w:sz w:val="19"/>
              </w:rPr>
              <w:t>底层 C++ 原生加速并受沙箱隔离，彻底规避第三方纯 JS 密码库侧信道攻击风险</w:t>
            </w:r>
          </w:p>
        </w:tc>
      </w:tr>
      <w:tr>
        <w:tc>
          <w:tcPr>
            <w:tcW w:type="dxa" w:w="1440"/>
          </w:tcPr>
          <w:p>
            <w:pPr>
              <w:spacing w:line="300" w:lineRule="exact"/>
              <w:jc w:val="center"/>
            </w:pPr>
            <w:r>
              <w:rPr>
                <w:rFonts w:ascii="Times New Roman" w:hAnsi="Times New Roman" w:eastAsia="宋体" w:cs="Times New Roman"/>
                <w:b w:val="0"/>
                <w:i w:val="0"/>
                <w:color w:val="000000"/>
                <w:sz w:val="19"/>
              </w:rPr>
              <w:t>ADR-03</w:t>
            </w:r>
          </w:p>
        </w:tc>
        <w:tc>
          <w:tcPr>
            <w:tcW w:type="dxa" w:w="2016"/>
          </w:tcPr>
          <w:p>
            <w:pPr>
              <w:spacing w:line="300" w:lineRule="exact"/>
              <w:jc w:val="center"/>
            </w:pPr>
            <w:r>
              <w:rPr>
                <w:rFonts w:ascii="Times New Roman" w:hAnsi="Times New Roman" w:eastAsia="宋体" w:cs="Times New Roman"/>
                <w:b w:val="0"/>
                <w:i w:val="0"/>
                <w:color w:val="000000"/>
                <w:sz w:val="19"/>
              </w:rPr>
              <w:t>加密算法组合</w:t>
            </w:r>
          </w:p>
        </w:tc>
        <w:tc>
          <w:tcPr>
            <w:tcW w:type="dxa" w:w="3312"/>
          </w:tcPr>
          <w:p>
            <w:pPr>
              <w:spacing w:line="300" w:lineRule="exact"/>
              <w:jc w:val="left"/>
            </w:pPr>
            <w:r>
              <w:rPr>
                <w:rFonts w:ascii="Times New Roman" w:hAnsi="Times New Roman" w:eastAsia="宋体" w:cs="Times New Roman"/>
                <w:b w:val="0"/>
                <w:i w:val="0"/>
                <w:color w:val="000000"/>
                <w:sz w:val="19"/>
              </w:rPr>
              <w:t>PBKDF2-SHA256 (100k) + AES-GCM-256</w:t>
            </w:r>
          </w:p>
        </w:tc>
        <w:tc>
          <w:tcPr>
            <w:tcW w:type="dxa" w:w="2592"/>
          </w:tcPr>
          <w:p>
            <w:pPr>
              <w:spacing w:line="300" w:lineRule="exact"/>
              <w:jc w:val="left"/>
            </w:pPr>
            <w:r>
              <w:rPr>
                <w:rFonts w:ascii="Times New Roman" w:hAnsi="Times New Roman" w:eastAsia="宋体" w:cs="Times New Roman"/>
                <w:b w:val="0"/>
                <w:i w:val="0"/>
                <w:color w:val="000000"/>
                <w:sz w:val="19"/>
              </w:rPr>
              <w:t>高强度抗暴力破解，AEAD 自带 128 位认证标签防篡改防注入，独立 12 字节随机 IV</w:t>
            </w:r>
          </w:p>
        </w:tc>
      </w:tr>
      <w:tr>
        <w:tc>
          <w:tcPr>
            <w:tcW w:type="dxa" w:w="1440"/>
          </w:tcPr>
          <w:p>
            <w:pPr>
              <w:spacing w:line="300" w:lineRule="exact"/>
              <w:jc w:val="center"/>
            </w:pPr>
            <w:r>
              <w:rPr>
                <w:rFonts w:ascii="Times New Roman" w:hAnsi="Times New Roman" w:eastAsia="宋体" w:cs="Times New Roman"/>
                <w:b w:val="0"/>
                <w:i w:val="0"/>
                <w:color w:val="000000"/>
                <w:sz w:val="19"/>
              </w:rPr>
              <w:t>ADR-04</w:t>
            </w:r>
          </w:p>
        </w:tc>
        <w:tc>
          <w:tcPr>
            <w:tcW w:type="dxa" w:w="2016"/>
          </w:tcPr>
          <w:p>
            <w:pPr>
              <w:spacing w:line="300" w:lineRule="exact"/>
              <w:jc w:val="center"/>
            </w:pPr>
            <w:r>
              <w:rPr>
                <w:rFonts w:ascii="Times New Roman" w:hAnsi="Times New Roman" w:eastAsia="宋体" w:cs="Times New Roman"/>
                <w:b w:val="0"/>
                <w:i w:val="0"/>
                <w:color w:val="000000"/>
                <w:sz w:val="19"/>
              </w:rPr>
              <w:t>持久化与网络</w:t>
            </w:r>
          </w:p>
        </w:tc>
        <w:tc>
          <w:tcPr>
            <w:tcW w:type="dxa" w:w="3312"/>
          </w:tcPr>
          <w:p>
            <w:pPr>
              <w:spacing w:line="300" w:lineRule="exact"/>
              <w:jc w:val="left"/>
            </w:pPr>
            <w:r>
              <w:rPr>
                <w:rFonts w:ascii="Times New Roman" w:hAnsi="Times New Roman" w:eastAsia="宋体" w:cs="Times New Roman"/>
                <w:b w:val="0"/>
                <w:i w:val="0"/>
                <w:color w:val="000000"/>
                <w:sz w:val="19"/>
              </w:rPr>
              <w:t>纯本地离线 LocalStorage + NAS 私有</w:t>
            </w:r>
          </w:p>
        </w:tc>
        <w:tc>
          <w:tcPr>
            <w:tcW w:type="dxa" w:w="2592"/>
          </w:tcPr>
          <w:p>
            <w:pPr>
              <w:spacing w:line="300" w:lineRule="exact"/>
              <w:jc w:val="left"/>
            </w:pPr>
            <w:r>
              <w:rPr>
                <w:rFonts w:ascii="Times New Roman" w:hAnsi="Times New Roman" w:eastAsia="宋体" w:cs="Times New Roman"/>
                <w:b w:val="0"/>
                <w:i w:val="0"/>
                <w:color w:val="000000"/>
                <w:sz w:val="19"/>
              </w:rPr>
              <w:t>零服务器、零明文上云风险，资产完全自持，支持一键导出/导入加密灾备文件</w:t>
            </w:r>
          </w:p>
        </w:tc>
      </w:tr>
    </w:tbl>
    <w:p/>
    <w:p>
      <w:pPr>
        <w:spacing w:before="240" w:after="80" w:line="400" w:lineRule="exact"/>
      </w:pPr>
      <w:r>
        <w:rPr>
          <w:rFonts w:ascii="Times New Roman" w:hAnsi="Times New Roman" w:eastAsia="黑体" w:cs="Times New Roman"/>
          <w:b/>
          <w:i w:val="0"/>
          <w:color w:val="000000"/>
          <w:sz w:val="24"/>
        </w:rPr>
        <w:t>2.2 需求规格矩阵与量化验收准则 (SPEC.md)</w:t>
      </w:r>
    </w:p>
    <w:p>
      <w:pPr>
        <w:spacing w:before="200" w:after="80"/>
        <w:jc w:val="center"/>
      </w:pPr>
      <w:r>
        <w:rPr>
          <w:rFonts w:ascii="Times New Roman" w:hAnsi="Times New Roman" w:eastAsia="黑体" w:cs="Times New Roman"/>
          <w:b/>
          <w:i w:val="0"/>
          <w:color w:val="000000"/>
          <w:sz w:val="21"/>
        </w:rPr>
        <w:t>表 2  SafeVault 系统核心功能特性规格与优先级矩阵</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1584"/>
            <w:tcBorders>
              <w:bottom w:val="single" w:sz="6" w:space="0" w:color="000000"/>
            </w:tcBorders>
          </w:tcPr>
          <w:p>
            <w:pPr>
              <w:spacing w:line="320" w:lineRule="exact"/>
              <w:jc w:val="center"/>
            </w:pPr>
            <w:r>
              <w:rPr>
                <w:rFonts w:ascii="Times New Roman" w:hAnsi="Times New Roman" w:eastAsia="黑体" w:cs="Times New Roman"/>
                <w:b/>
                <w:i w:val="0"/>
                <w:color w:val="000000"/>
                <w:sz w:val="20"/>
              </w:rPr>
              <w:t>特性 ID</w:t>
            </w:r>
          </w:p>
        </w:tc>
        <w:tc>
          <w:tcPr>
            <w:tcW w:type="dxa" w:w="1872"/>
            <w:tcBorders>
              <w:bottom w:val="single" w:sz="6" w:space="0" w:color="000000"/>
            </w:tcBorders>
          </w:tcPr>
          <w:p>
            <w:pPr>
              <w:spacing w:line="320" w:lineRule="exact"/>
              <w:jc w:val="center"/>
            </w:pPr>
            <w:r>
              <w:rPr>
                <w:rFonts w:ascii="Times New Roman" w:hAnsi="Times New Roman" w:eastAsia="黑体" w:cs="Times New Roman"/>
                <w:b/>
                <w:i w:val="0"/>
                <w:color w:val="000000"/>
                <w:sz w:val="20"/>
              </w:rPr>
              <w:t>模块分类</w:t>
            </w:r>
          </w:p>
        </w:tc>
        <w:tc>
          <w:tcPr>
            <w:tcW w:type="dxa" w:w="3312"/>
            <w:tcBorders>
              <w:bottom w:val="single" w:sz="6" w:space="0" w:color="000000"/>
            </w:tcBorders>
          </w:tcPr>
          <w:p>
            <w:pPr>
              <w:spacing w:line="320" w:lineRule="exact"/>
              <w:jc w:val="center"/>
            </w:pPr>
            <w:r>
              <w:rPr>
                <w:rFonts w:ascii="Times New Roman" w:hAnsi="Times New Roman" w:eastAsia="黑体" w:cs="Times New Roman"/>
                <w:b/>
                <w:i w:val="0"/>
                <w:color w:val="000000"/>
                <w:sz w:val="20"/>
              </w:rPr>
              <w:t>核心功能规格描述</w:t>
            </w:r>
          </w:p>
        </w:tc>
        <w:tc>
          <w:tcPr>
            <w:tcW w:type="dxa" w:w="2592"/>
            <w:tcBorders>
              <w:bottom w:val="single" w:sz="6" w:space="0" w:color="000000"/>
            </w:tcBorders>
          </w:tcPr>
          <w:p>
            <w:pPr>
              <w:spacing w:line="320" w:lineRule="exact"/>
              <w:jc w:val="center"/>
            </w:pPr>
            <w:r>
              <w:rPr>
                <w:rFonts w:ascii="Times New Roman" w:hAnsi="Times New Roman" w:eastAsia="黑体" w:cs="Times New Roman"/>
                <w:b/>
                <w:i w:val="0"/>
                <w:color w:val="000000"/>
                <w:sz w:val="20"/>
              </w:rPr>
              <w:t>验收合格基线</w:t>
            </w:r>
          </w:p>
        </w:tc>
      </w:tr>
      <w:tr>
        <w:tc>
          <w:tcPr>
            <w:tcW w:type="dxa" w:w="1584"/>
          </w:tcPr>
          <w:p>
            <w:pPr>
              <w:spacing w:line="300" w:lineRule="exact"/>
              <w:jc w:val="center"/>
            </w:pPr>
            <w:r>
              <w:rPr>
                <w:rFonts w:ascii="Times New Roman" w:hAnsi="Times New Roman" w:eastAsia="宋体" w:cs="Times New Roman"/>
                <w:b w:val="0"/>
                <w:i w:val="0"/>
                <w:color w:val="000000"/>
                <w:sz w:val="19"/>
              </w:rPr>
              <w:t>REQ-01</w:t>
            </w:r>
          </w:p>
        </w:tc>
        <w:tc>
          <w:tcPr>
            <w:tcW w:type="dxa" w:w="1872"/>
          </w:tcPr>
          <w:p>
            <w:pPr>
              <w:spacing w:line="300" w:lineRule="exact"/>
              <w:jc w:val="center"/>
            </w:pPr>
            <w:r>
              <w:rPr>
                <w:rFonts w:ascii="Times New Roman" w:hAnsi="Times New Roman" w:eastAsia="宋体" w:cs="Times New Roman"/>
                <w:b w:val="0"/>
                <w:i w:val="0"/>
                <w:color w:val="000000"/>
                <w:sz w:val="19"/>
              </w:rPr>
              <w:t>主密码鉴权</w:t>
            </w:r>
          </w:p>
        </w:tc>
        <w:tc>
          <w:tcPr>
            <w:tcW w:type="dxa" w:w="3312"/>
          </w:tcPr>
          <w:p>
            <w:pPr>
              <w:spacing w:line="300" w:lineRule="exact"/>
              <w:jc w:val="left"/>
            </w:pPr>
            <w:r>
              <w:rPr>
                <w:rFonts w:ascii="Times New Roman" w:hAnsi="Times New Roman" w:eastAsia="宋体" w:cs="Times New Roman"/>
                <w:b w:val="0"/>
                <w:i w:val="0"/>
                <w:color w:val="000000"/>
                <w:sz w:val="19"/>
              </w:rPr>
              <w:t>初次引导初始化；锁屏防爆破验证；超时3分钟自动锁屏</w:t>
            </w:r>
          </w:p>
        </w:tc>
        <w:tc>
          <w:tcPr>
            <w:tcW w:type="dxa" w:w="2592"/>
          </w:tcPr>
          <w:p>
            <w:pPr>
              <w:spacing w:line="300" w:lineRule="exact"/>
              <w:jc w:val="left"/>
            </w:pPr>
            <w:r>
              <w:rPr>
                <w:rFonts w:ascii="Times New Roman" w:hAnsi="Times New Roman" w:eastAsia="宋体" w:cs="Times New Roman"/>
                <w:b w:val="0"/>
                <w:i w:val="0"/>
                <w:color w:val="000000"/>
                <w:sz w:val="19"/>
              </w:rPr>
              <w:t>错误密码触发 AEAD 阻断，锁屏主动清洗内存</w:t>
            </w:r>
          </w:p>
        </w:tc>
      </w:tr>
      <w:tr>
        <w:tc>
          <w:tcPr>
            <w:tcW w:type="dxa" w:w="1584"/>
          </w:tcPr>
          <w:p>
            <w:pPr>
              <w:spacing w:line="300" w:lineRule="exact"/>
              <w:jc w:val="center"/>
            </w:pPr>
            <w:r>
              <w:rPr>
                <w:rFonts w:ascii="Times New Roman" w:hAnsi="Times New Roman" w:eastAsia="宋体" w:cs="Times New Roman"/>
                <w:b w:val="0"/>
                <w:i w:val="0"/>
                <w:color w:val="000000"/>
                <w:sz w:val="19"/>
              </w:rPr>
              <w:t>REQ-02</w:t>
            </w:r>
          </w:p>
        </w:tc>
        <w:tc>
          <w:tcPr>
            <w:tcW w:type="dxa" w:w="1872"/>
          </w:tcPr>
          <w:p>
            <w:pPr>
              <w:spacing w:line="300" w:lineRule="exact"/>
              <w:jc w:val="center"/>
            </w:pPr>
            <w:r>
              <w:rPr>
                <w:rFonts w:ascii="Times New Roman" w:hAnsi="Times New Roman" w:eastAsia="宋体" w:cs="Times New Roman"/>
                <w:b w:val="0"/>
                <w:i w:val="0"/>
                <w:color w:val="000000"/>
                <w:sz w:val="19"/>
              </w:rPr>
              <w:t>零知识加密</w:t>
            </w:r>
          </w:p>
        </w:tc>
        <w:tc>
          <w:tcPr>
            <w:tcW w:type="dxa" w:w="3312"/>
          </w:tcPr>
          <w:p>
            <w:pPr>
              <w:spacing w:line="300" w:lineRule="exact"/>
              <w:jc w:val="left"/>
            </w:pPr>
            <w:r>
              <w:rPr>
                <w:rFonts w:ascii="Times New Roman" w:hAnsi="Times New Roman" w:eastAsia="宋体" w:cs="Times New Roman"/>
                <w:b w:val="0"/>
                <w:i w:val="0"/>
                <w:color w:val="000000"/>
                <w:sz w:val="19"/>
              </w:rPr>
              <w:t>PBKDF2-SHA256 (100k) + AES-GCM-256 (12B随机IV)</w:t>
            </w:r>
          </w:p>
        </w:tc>
        <w:tc>
          <w:tcPr>
            <w:tcW w:type="dxa" w:w="2592"/>
          </w:tcPr>
          <w:p>
            <w:pPr>
              <w:spacing w:line="300" w:lineRule="exact"/>
              <w:jc w:val="left"/>
            </w:pPr>
            <w:r>
              <w:rPr>
                <w:rFonts w:ascii="Times New Roman" w:hAnsi="Times New Roman" w:eastAsia="宋体" w:cs="Times New Roman"/>
                <w:b w:val="0"/>
                <w:i w:val="0"/>
                <w:color w:val="000000"/>
                <w:sz w:val="19"/>
              </w:rPr>
              <w:t>存储介质 100% 密文落盘，绝无明文泄露</w:t>
            </w:r>
          </w:p>
        </w:tc>
      </w:tr>
      <w:tr>
        <w:tc>
          <w:tcPr>
            <w:tcW w:type="dxa" w:w="1584"/>
          </w:tcPr>
          <w:p>
            <w:pPr>
              <w:spacing w:line="300" w:lineRule="exact"/>
              <w:jc w:val="center"/>
            </w:pPr>
            <w:r>
              <w:rPr>
                <w:rFonts w:ascii="Times New Roman" w:hAnsi="Times New Roman" w:eastAsia="宋体" w:cs="Times New Roman"/>
                <w:b w:val="0"/>
                <w:i w:val="0"/>
                <w:color w:val="000000"/>
                <w:sz w:val="19"/>
              </w:rPr>
              <w:t>REQ-03</w:t>
            </w:r>
          </w:p>
        </w:tc>
        <w:tc>
          <w:tcPr>
            <w:tcW w:type="dxa" w:w="1872"/>
          </w:tcPr>
          <w:p>
            <w:pPr>
              <w:spacing w:line="300" w:lineRule="exact"/>
              <w:jc w:val="center"/>
            </w:pPr>
            <w:r>
              <w:rPr>
                <w:rFonts w:ascii="Times New Roman" w:hAnsi="Times New Roman" w:eastAsia="宋体" w:cs="Times New Roman"/>
                <w:b w:val="0"/>
                <w:i w:val="0"/>
                <w:color w:val="000000"/>
                <w:sz w:val="19"/>
              </w:rPr>
              <w:t>槽位凭据管理</w:t>
            </w:r>
          </w:p>
        </w:tc>
        <w:tc>
          <w:tcPr>
            <w:tcW w:type="dxa" w:w="3312"/>
          </w:tcPr>
          <w:p>
            <w:pPr>
              <w:spacing w:line="300" w:lineRule="exact"/>
              <w:jc w:val="left"/>
            </w:pPr>
            <w:r>
              <w:rPr>
                <w:rFonts w:ascii="Times New Roman" w:hAnsi="Times New Roman" w:eastAsia="宋体" w:cs="Times New Roman"/>
                <w:b w:val="0"/>
                <w:i w:val="0"/>
                <w:color w:val="000000"/>
                <w:sz w:val="19"/>
              </w:rPr>
              <w:t>6大分类凭据CRUD；空槽位[+]快速建造；即时模糊搜索</w:t>
            </w:r>
          </w:p>
        </w:tc>
        <w:tc>
          <w:tcPr>
            <w:tcW w:type="dxa" w:w="2592"/>
          </w:tcPr>
          <w:p>
            <w:pPr>
              <w:spacing w:line="300" w:lineRule="exact"/>
              <w:jc w:val="left"/>
            </w:pPr>
            <w:r>
              <w:rPr>
                <w:rFonts w:ascii="Times New Roman" w:hAnsi="Times New Roman" w:eastAsia="宋体" w:cs="Times New Roman"/>
                <w:b w:val="0"/>
                <w:i w:val="0"/>
                <w:color w:val="000000"/>
                <w:sz w:val="19"/>
              </w:rPr>
              <w:t>单条卡片即时响应，搜索过滤延迟 &lt; 20ms</w:t>
            </w:r>
          </w:p>
        </w:tc>
      </w:tr>
      <w:tr>
        <w:tc>
          <w:tcPr>
            <w:tcW w:type="dxa" w:w="1584"/>
          </w:tcPr>
          <w:p>
            <w:pPr>
              <w:spacing w:line="300" w:lineRule="exact"/>
              <w:jc w:val="center"/>
            </w:pPr>
            <w:r>
              <w:rPr>
                <w:rFonts w:ascii="Times New Roman" w:hAnsi="Times New Roman" w:eastAsia="宋体" w:cs="Times New Roman"/>
                <w:b w:val="0"/>
                <w:i w:val="0"/>
                <w:color w:val="000000"/>
                <w:sz w:val="19"/>
              </w:rPr>
              <w:t>REQ-04</w:t>
            </w:r>
          </w:p>
        </w:tc>
        <w:tc>
          <w:tcPr>
            <w:tcW w:type="dxa" w:w="1872"/>
          </w:tcPr>
          <w:p>
            <w:pPr>
              <w:spacing w:line="300" w:lineRule="exact"/>
              <w:jc w:val="center"/>
            </w:pPr>
            <w:r>
              <w:rPr>
                <w:rFonts w:ascii="Times New Roman" w:hAnsi="Times New Roman" w:eastAsia="宋体" w:cs="Times New Roman"/>
                <w:b w:val="0"/>
                <w:i w:val="0"/>
                <w:color w:val="000000"/>
                <w:sz w:val="19"/>
              </w:rPr>
              <w:t>防窥隐私交互</w:t>
            </w:r>
          </w:p>
        </w:tc>
        <w:tc>
          <w:tcPr>
            <w:tcW w:type="dxa" w:w="3312"/>
          </w:tcPr>
          <w:p>
            <w:pPr>
              <w:spacing w:line="300" w:lineRule="exact"/>
              <w:jc w:val="left"/>
            </w:pPr>
            <w:r>
              <w:rPr>
                <w:rFonts w:ascii="Times New Roman" w:hAnsi="Times New Roman" w:eastAsia="宋体" w:cs="Times New Roman"/>
                <w:b w:val="0"/>
                <w:i w:val="0"/>
                <w:color w:val="000000"/>
                <w:sz w:val="19"/>
              </w:rPr>
              <w:t>密码默认 •••••• 掩码；复制后 30 秒自动清空剪贴板</w:t>
            </w:r>
          </w:p>
        </w:tc>
        <w:tc>
          <w:tcPr>
            <w:tcW w:type="dxa" w:w="2592"/>
          </w:tcPr>
          <w:p>
            <w:pPr>
              <w:spacing w:line="300" w:lineRule="exact"/>
              <w:jc w:val="left"/>
            </w:pPr>
            <w:r>
              <w:rPr>
                <w:rFonts w:ascii="Times New Roman" w:hAnsi="Times New Roman" w:eastAsia="宋体" w:cs="Times New Roman"/>
                <w:b w:val="0"/>
                <w:i w:val="0"/>
                <w:color w:val="000000"/>
                <w:sz w:val="19"/>
              </w:rPr>
              <w:t>定时器到期强制抹去剪贴板，彻底防嗅探</w:t>
            </w:r>
          </w:p>
        </w:tc>
      </w:tr>
      <w:tr>
        <w:tc>
          <w:tcPr>
            <w:tcW w:type="dxa" w:w="1584"/>
          </w:tcPr>
          <w:p>
            <w:pPr>
              <w:spacing w:line="300" w:lineRule="exact"/>
              <w:jc w:val="center"/>
            </w:pPr>
            <w:r>
              <w:rPr>
                <w:rFonts w:ascii="Times New Roman" w:hAnsi="Times New Roman" w:eastAsia="宋体" w:cs="Times New Roman"/>
                <w:b w:val="0"/>
                <w:i w:val="0"/>
                <w:color w:val="000000"/>
                <w:sz w:val="19"/>
              </w:rPr>
              <w:t>REQ-05</w:t>
            </w:r>
          </w:p>
        </w:tc>
        <w:tc>
          <w:tcPr>
            <w:tcW w:type="dxa" w:w="1872"/>
          </w:tcPr>
          <w:p>
            <w:pPr>
              <w:spacing w:line="300" w:lineRule="exact"/>
              <w:jc w:val="center"/>
            </w:pPr>
            <w:r>
              <w:rPr>
                <w:rFonts w:ascii="Times New Roman" w:hAnsi="Times New Roman" w:eastAsia="宋体" w:cs="Times New Roman"/>
                <w:b w:val="0"/>
                <w:i w:val="0"/>
                <w:color w:val="000000"/>
                <w:sz w:val="19"/>
              </w:rPr>
              <w:t>强密码发生器</w:t>
            </w:r>
          </w:p>
        </w:tc>
        <w:tc>
          <w:tcPr>
            <w:tcW w:type="dxa" w:w="3312"/>
          </w:tcPr>
          <w:p>
            <w:pPr>
              <w:spacing w:line="300" w:lineRule="exact"/>
              <w:jc w:val="left"/>
            </w:pPr>
            <w:r>
              <w:rPr>
                <w:rFonts w:ascii="Times New Roman" w:hAnsi="Times New Roman" w:eastAsia="宋体" w:cs="Times New Roman"/>
                <w:b w:val="0"/>
                <w:i w:val="0"/>
                <w:color w:val="000000"/>
                <w:sz w:val="19"/>
              </w:rPr>
              <w:t>8~32位无级滑块；4类字符集勾选；排除易混淆字符</w:t>
            </w:r>
          </w:p>
        </w:tc>
        <w:tc>
          <w:tcPr>
            <w:tcW w:type="dxa" w:w="2592"/>
          </w:tcPr>
          <w:p>
            <w:pPr>
              <w:spacing w:line="300" w:lineRule="exact"/>
              <w:jc w:val="left"/>
            </w:pPr>
            <w:r>
              <w:rPr>
                <w:rFonts w:ascii="Times New Roman" w:hAnsi="Times New Roman" w:eastAsia="宋体" w:cs="Times New Roman"/>
                <w:b w:val="0"/>
                <w:i w:val="0"/>
                <w:color w:val="000000"/>
                <w:sz w:val="19"/>
              </w:rPr>
              <w:t>基于 CSPRNG 真伪随机数，带动态强度评估</w:t>
            </w:r>
          </w:p>
        </w:tc>
      </w:tr>
      <w:tr>
        <w:tc>
          <w:tcPr>
            <w:tcW w:type="dxa" w:w="1584"/>
          </w:tcPr>
          <w:p>
            <w:pPr>
              <w:spacing w:line="300" w:lineRule="exact"/>
              <w:jc w:val="center"/>
            </w:pPr>
            <w:r>
              <w:rPr>
                <w:rFonts w:ascii="Times New Roman" w:hAnsi="Times New Roman" w:eastAsia="宋体" w:cs="Times New Roman"/>
                <w:b w:val="0"/>
                <w:i w:val="0"/>
                <w:color w:val="000000"/>
                <w:sz w:val="19"/>
              </w:rPr>
              <w:t>REQ-06</w:t>
            </w:r>
          </w:p>
        </w:tc>
        <w:tc>
          <w:tcPr>
            <w:tcW w:type="dxa" w:w="1872"/>
          </w:tcPr>
          <w:p>
            <w:pPr>
              <w:spacing w:line="300" w:lineRule="exact"/>
              <w:jc w:val="center"/>
            </w:pPr>
            <w:r>
              <w:rPr>
                <w:rFonts w:ascii="Times New Roman" w:hAnsi="Times New Roman" w:eastAsia="宋体" w:cs="Times New Roman"/>
                <w:b w:val="0"/>
                <w:i w:val="0"/>
                <w:color w:val="000000"/>
                <w:sz w:val="19"/>
              </w:rPr>
              <w:t>离线灾备与NAS</w:t>
            </w:r>
          </w:p>
        </w:tc>
        <w:tc>
          <w:tcPr>
            <w:tcW w:type="dxa" w:w="3312"/>
          </w:tcPr>
          <w:p>
            <w:pPr>
              <w:spacing w:line="300" w:lineRule="exact"/>
              <w:jc w:val="left"/>
            </w:pPr>
            <w:r>
              <w:rPr>
                <w:rFonts w:ascii="Times New Roman" w:hAnsi="Times New Roman" w:eastAsia="宋体" w:cs="Times New Roman"/>
                <w:b w:val="0"/>
                <w:i w:val="0"/>
                <w:color w:val="000000"/>
                <w:sz w:val="19"/>
              </w:rPr>
              <w:t>导出/恢复 .safevault.json 加密包；Docker 一键部署</w:t>
            </w:r>
          </w:p>
        </w:tc>
        <w:tc>
          <w:tcPr>
            <w:tcW w:type="dxa" w:w="2592"/>
          </w:tcPr>
          <w:p>
            <w:pPr>
              <w:spacing w:line="300" w:lineRule="exact"/>
              <w:jc w:val="left"/>
            </w:pPr>
            <w:r>
              <w:rPr>
                <w:rFonts w:ascii="Times New Roman" w:hAnsi="Times New Roman" w:eastAsia="宋体" w:cs="Times New Roman"/>
                <w:b w:val="0"/>
                <w:i w:val="0"/>
                <w:color w:val="000000"/>
                <w:sz w:val="19"/>
              </w:rPr>
              <w:t>镜像体积 &lt; 25MB；支持手机 PWA 全屏运行</w:t>
            </w:r>
          </w:p>
        </w:tc>
      </w:tr>
    </w:tbl>
    <w:p/>
    <w:p>
      <w:pPr>
        <w:spacing w:before="360" w:after="160" w:line="480" w:lineRule="exact"/>
      </w:pPr>
      <w:r>
        <w:rPr>
          <w:rFonts w:ascii="Times New Roman" w:hAnsi="Times New Roman" w:eastAsia="黑体" w:cs="Times New Roman"/>
          <w:b/>
          <w:i w:val="0"/>
          <w:color w:val="000000"/>
          <w:sz w:val="28"/>
        </w:rPr>
        <w:t>3 总体架构与零知识加密协议设计</w:t>
      </w:r>
    </w:p>
    <w:p>
      <w:pPr>
        <w:spacing w:before="0" w:after="80" w:line="400" w:lineRule="exact"/>
        <w:ind w:firstLine="480"/>
      </w:pPr>
      <w:r>
        <w:rPr>
          <w:rFonts w:ascii="Times New Roman" w:hAnsi="Times New Roman" w:eastAsia="宋体" w:cs="Times New Roman"/>
          <w:b w:val="0"/>
          <w:i w:val="0"/>
          <w:color w:val="000000"/>
          <w:sz w:val="24"/>
        </w:rPr>
        <w:t>3.1 总体四层技术架构拓扑：SafeVault 采用高度解耦的分层设计：表示层（Presentation Layer）负责战术顶栏、竖向菜单、HUD 看板、槽位网格；业务调度层（Application Layer）负责 FSM 状态机转移、无操作心跳监听、搜索流管道；密码学引擎层（Crypto Engine）深度封装 SubtleCrypto，负责高熵密钥派生与认证加解密；数据持久化与跨端层（Storage &amp; Infra）负责 LocalStorage 密文存储、灾备包处理与 Alpine-Nginx 容器宿主。</w:t>
      </w:r>
    </w:p>
    <w:p>
      <w:pPr>
        <w:spacing w:before="240" w:after="80" w:line="400" w:lineRule="exact"/>
      </w:pPr>
      <w:r>
        <w:rPr>
          <w:rFonts w:ascii="Times New Roman" w:hAnsi="Times New Roman" w:eastAsia="黑体" w:cs="Times New Roman"/>
          <w:b/>
          <w:i w:val="0"/>
          <w:color w:val="000000"/>
          <w:sz w:val="24"/>
        </w:rPr>
        <w:t>3.2 零知识密码学协议时序实录</w:t>
      </w:r>
    </w:p>
    <w:p>
      <w:pPr>
        <w:spacing w:before="120" w:after="40"/>
        <w:ind w:left="480"/>
      </w:pPr>
      <w:r>
        <w:rPr>
          <w:rFonts w:ascii="Times New Roman" w:hAnsi="Times New Roman" w:eastAsia="黑体" w:cs="Times New Roman"/>
          <w:b/>
          <w:i w:val="0"/>
          <w:color w:val="000000"/>
          <w:sz w:val="21"/>
        </w:rPr>
        <w:t>【零知识鉴权与加解密全生命周期时序】</w:t>
      </w:r>
    </w:p>
    <w:p>
      <w:pPr>
        <w:spacing w:before="0" w:after="20" w:line="300" w:lineRule="exact"/>
        <w:ind w:left="720"/>
      </w:pPr>
      <w:r>
        <w:rPr>
          <w:rFonts w:ascii="Consolas" w:hAnsi="Consolas" w:eastAsia="仿宋" w:cs="Consolas"/>
          <w:b w:val="0"/>
          <w:i w:val="0"/>
          <w:color w:val="000000"/>
          <w:sz w:val="19"/>
        </w:rPr>
        <w:t>1. 【金库首次初始化】</w:t>
      </w:r>
    </w:p>
    <w:p>
      <w:pPr>
        <w:spacing w:before="0" w:after="20" w:line="300" w:lineRule="exact"/>
        <w:ind w:left="720"/>
      </w:pPr>
      <w:r>
        <w:rPr>
          <w:rFonts w:ascii="Consolas" w:hAnsi="Consolas" w:eastAsia="仿宋" w:cs="Consolas"/>
          <w:b w:val="0"/>
          <w:i w:val="0"/>
          <w:color w:val="000000"/>
          <w:sz w:val="19"/>
        </w:rPr>
        <w:t xml:space="preserve">   - 用户设定主密码 MasterPassword；</w:t>
      </w:r>
    </w:p>
    <w:p>
      <w:pPr>
        <w:spacing w:before="0" w:after="20" w:line="300" w:lineRule="exact"/>
        <w:ind w:left="720"/>
      </w:pPr>
      <w:r>
        <w:rPr>
          <w:rFonts w:ascii="Consolas" w:hAnsi="Consolas" w:eastAsia="仿宋" w:cs="Consolas"/>
          <w:b w:val="0"/>
          <w:i w:val="0"/>
          <w:color w:val="000000"/>
          <w:sz w:val="19"/>
        </w:rPr>
        <w:t xml:space="preserve">   - window.crypto.getRandomValues 生成 16 字节随机 Salt；</w:t>
      </w:r>
    </w:p>
    <w:p>
      <w:pPr>
        <w:spacing w:before="0" w:after="20" w:line="300" w:lineRule="exact"/>
        <w:ind w:left="720"/>
      </w:pPr>
      <w:r>
        <w:rPr>
          <w:rFonts w:ascii="Consolas" w:hAnsi="Consolas" w:eastAsia="仿宋" w:cs="Consolas"/>
          <w:b w:val="0"/>
          <w:i w:val="0"/>
          <w:color w:val="000000"/>
          <w:sz w:val="19"/>
        </w:rPr>
        <w:t xml:space="preserve">   - PBKDF2-SHA256 进行 100,000 轮拉伸运算，派生 256 位 AES-GCM CryptoKey；</w:t>
      </w:r>
    </w:p>
    <w:p>
      <w:pPr>
        <w:spacing w:before="0" w:after="20" w:line="300" w:lineRule="exact"/>
        <w:ind w:left="720"/>
      </w:pPr>
      <w:r>
        <w:rPr>
          <w:rFonts w:ascii="Consolas" w:hAnsi="Consolas" w:eastAsia="仿宋" w:cs="Consolas"/>
          <w:b w:val="0"/>
          <w:i w:val="0"/>
          <w:color w:val="000000"/>
          <w:sz w:val="19"/>
        </w:rPr>
        <w:t xml:space="preserve">   - 生成 12 字节随机 IV，加密已知 Token 'SAFEVAULT_AUTH_VERIFIED_TOKEN' 为 testCipher；</w:t>
      </w:r>
    </w:p>
    <w:p>
      <w:pPr>
        <w:spacing w:before="0" w:after="20" w:line="300" w:lineRule="exact"/>
        <w:ind w:left="720"/>
      </w:pPr>
      <w:r>
        <w:rPr>
          <w:rFonts w:ascii="Consolas" w:hAnsi="Consolas" w:eastAsia="仿宋" w:cs="Consolas"/>
          <w:b w:val="0"/>
          <w:i w:val="0"/>
          <w:color w:val="000000"/>
          <w:sz w:val="19"/>
        </w:rPr>
        <w:t xml:space="preserve">   - 持久化保存 VaultMeta: { version, salt, testCipher, testIv, lockTimeoutMinutes: 3 }；</w:t>
      </w:r>
    </w:p>
    <w:p>
      <w:pPr>
        <w:spacing w:before="0" w:after="20" w:line="300" w:lineRule="exact"/>
        <w:ind w:left="720"/>
      </w:pPr>
      <w:r>
        <w:rPr>
          <w:rFonts w:ascii="Consolas" w:hAnsi="Consolas" w:eastAsia="仿宋" w:cs="Consolas"/>
          <w:b w:val="0"/>
          <w:i w:val="0"/>
          <w:color w:val="000000"/>
          <w:sz w:val="19"/>
        </w:rPr>
        <w:t xml:space="preserve">   - 内存临时持有不可导出的 MasterKey，进入终端操作面板。</w:t>
      </w:r>
    </w:p>
    <w:p>
      <w:pPr>
        <w:spacing w:before="0" w:after="20" w:line="300" w:lineRule="exact"/>
        <w:ind w:left="720"/>
      </w:pPr>
      <w:r>
        <w:rPr>
          <w:rFonts w:ascii="Consolas" w:hAnsi="Consolas" w:eastAsia="仿宋" w:cs="Consolas"/>
          <w:b w:val="0"/>
          <w:i w:val="0"/>
          <w:color w:val="000000"/>
          <w:sz w:val="19"/>
        </w:rPr>
        <w:t>2. 【二次登录身份鉴权】</w:t>
      </w:r>
    </w:p>
    <w:p>
      <w:pPr>
        <w:spacing w:before="0" w:after="20" w:line="300" w:lineRule="exact"/>
        <w:ind w:left="720"/>
      </w:pPr>
      <w:r>
        <w:rPr>
          <w:rFonts w:ascii="Consolas" w:hAnsi="Consolas" w:eastAsia="仿宋" w:cs="Consolas"/>
          <w:b w:val="0"/>
          <w:i w:val="0"/>
          <w:color w:val="000000"/>
          <w:sz w:val="19"/>
        </w:rPr>
        <w:t xml:space="preserve">   - 用户输入主密码 -&gt; 提取存储的 Salt 重新派生临时 Key -&gt; 尝试解密 testCipher；</w:t>
      </w:r>
    </w:p>
    <w:p>
      <w:pPr>
        <w:spacing w:before="0" w:after="20" w:line="300" w:lineRule="exact"/>
        <w:ind w:left="720"/>
      </w:pPr>
      <w:r>
        <w:rPr>
          <w:rFonts w:ascii="Consolas" w:hAnsi="Consolas" w:eastAsia="仿宋" w:cs="Consolas"/>
          <w:b w:val="0"/>
          <w:i w:val="0"/>
          <w:color w:val="000000"/>
          <w:sz w:val="19"/>
        </w:rPr>
        <w:t xml:space="preserve">   - 正向验证：Tag 匹配且解出相同 Token，身份验证通过，持有 MasterKey，解密所有条目入内存；</w:t>
      </w:r>
    </w:p>
    <w:p>
      <w:pPr>
        <w:spacing w:before="0" w:after="20" w:line="300" w:lineRule="exact"/>
        <w:ind w:left="720"/>
      </w:pPr>
      <w:r>
        <w:rPr>
          <w:rFonts w:ascii="Consolas" w:hAnsi="Consolas" w:eastAsia="仿宋" w:cs="Consolas"/>
          <w:b w:val="0"/>
          <w:i w:val="0"/>
          <w:color w:val="000000"/>
          <w:sz w:val="19"/>
        </w:rPr>
        <w:t xml:space="preserve">   - 反向验证：AEAD Tag 校验不匹配，底层抛出 OperationError，拒绝进入终端并告警。</w:t>
      </w:r>
    </w:p>
    <w:p>
      <w:pPr>
        <w:spacing w:before="0" w:after="20" w:line="300" w:lineRule="exact"/>
        <w:ind w:left="720"/>
      </w:pPr>
      <w:r>
        <w:rPr>
          <w:rFonts w:ascii="Consolas" w:hAnsi="Consolas" w:eastAsia="仿宋" w:cs="Consolas"/>
          <w:b w:val="0"/>
          <w:i w:val="0"/>
          <w:color w:val="000000"/>
          <w:sz w:val="19"/>
        </w:rPr>
        <w:t>3. 【凭据加密落盘】</w:t>
      </w:r>
    </w:p>
    <w:p>
      <w:pPr>
        <w:spacing w:before="0" w:after="20" w:line="300" w:lineRule="exact"/>
        <w:ind w:left="720"/>
      </w:pPr>
      <w:r>
        <w:rPr>
          <w:rFonts w:ascii="Consolas" w:hAnsi="Consolas" w:eastAsia="仿宋" w:cs="Consolas"/>
          <w:b w:val="0"/>
          <w:i w:val="0"/>
          <w:color w:val="000000"/>
          <w:sz w:val="19"/>
        </w:rPr>
        <w:t xml:space="preserve">   - 用户填写表单 -&gt; 生成全新独立 12 字节 IV -&gt; 对敏感载荷进行 AES-GCM-256 加密；</w:t>
      </w:r>
    </w:p>
    <w:p>
      <w:pPr>
        <w:spacing w:before="0" w:after="20" w:line="300" w:lineRule="exact"/>
        <w:ind w:left="720"/>
      </w:pPr>
      <w:r>
        <w:rPr>
          <w:rFonts w:ascii="Consolas" w:hAnsi="Consolas" w:eastAsia="仿宋" w:cs="Consolas"/>
          <w:b w:val="0"/>
          <w:i w:val="0"/>
          <w:color w:val="000000"/>
          <w:sz w:val="19"/>
        </w:rPr>
        <w:t xml:space="preserve">   - 将 Base64 密文与 IV 持久化写入存储，落盘数据 100% 仅含密文字符串。</w:t>
      </w:r>
    </w:p>
    <w:p>
      <w:pPr>
        <w:spacing w:before="0" w:after="20" w:line="300" w:lineRule="exact"/>
        <w:ind w:left="720"/>
      </w:pPr>
      <w:r>
        <w:rPr>
          <w:rFonts w:ascii="Consolas" w:hAnsi="Consolas" w:eastAsia="仿宋" w:cs="Consolas"/>
          <w:b w:val="0"/>
          <w:i w:val="0"/>
          <w:color w:val="000000"/>
          <w:sz w:val="19"/>
        </w:rPr>
        <w:t>4. 【超时锁定与内存清洗】</w:t>
      </w:r>
    </w:p>
    <w:p>
      <w:pPr>
        <w:spacing w:before="0" w:after="20" w:line="300" w:lineRule="exact"/>
        <w:ind w:left="720"/>
      </w:pPr>
      <w:r>
        <w:rPr>
          <w:rFonts w:ascii="Consolas" w:hAnsi="Consolas" w:eastAsia="仿宋" w:cs="Consolas"/>
          <w:b w:val="0"/>
          <w:i w:val="0"/>
          <w:color w:val="000000"/>
          <w:sz w:val="19"/>
        </w:rPr>
        <w:t xml:space="preserve">   - 侦测 3 分钟无操作 -&gt; 调用 handleLockNow() 强制重置 MasterKey=null, items=[]；</w:t>
      </w:r>
    </w:p>
    <w:p>
      <w:pPr>
        <w:spacing w:before="0" w:after="20" w:line="300" w:lineRule="exact"/>
        <w:ind w:left="720"/>
      </w:pPr>
      <w:r>
        <w:rPr>
          <w:rFonts w:ascii="Consolas" w:hAnsi="Consolas" w:eastAsia="仿宋" w:cs="Consolas"/>
          <w:b w:val="0"/>
          <w:i w:val="0"/>
          <w:color w:val="000000"/>
          <w:sz w:val="19"/>
        </w:rPr>
        <w:t xml:space="preserve">   - 触发 GC 垃圾回收，页面切换为锁屏遮罩，彻底防御内存 dump 窥探。</w:t>
      </w:r>
    </w:p>
    <w:p>
      <w:pPr>
        <w:spacing w:before="240" w:after="80" w:line="400" w:lineRule="exact"/>
      </w:pPr>
      <w:r>
        <w:rPr>
          <w:rFonts w:ascii="Times New Roman" w:hAnsi="Times New Roman" w:eastAsia="黑体" w:cs="Times New Roman"/>
          <w:b/>
          <w:i w:val="0"/>
          <w:color w:val="000000"/>
          <w:sz w:val="24"/>
        </w:rPr>
        <w:t>3.3 常见安全攻击与防御矩阵</w:t>
      </w:r>
    </w:p>
    <w:p>
      <w:pPr>
        <w:spacing w:before="200" w:after="80"/>
        <w:jc w:val="center"/>
      </w:pPr>
      <w:r>
        <w:rPr>
          <w:rFonts w:ascii="Times New Roman" w:hAnsi="Times New Roman" w:eastAsia="黑体" w:cs="Times New Roman"/>
          <w:b/>
          <w:i w:val="0"/>
          <w:color w:val="000000"/>
          <w:sz w:val="21"/>
        </w:rPr>
        <w:t>表 3  SafeVault 常见安全攻击与威胁防御矩阵</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880"/>
        <w:gridCol w:w="2880"/>
        <w:gridCol w:w="2880"/>
      </w:tblGrid>
      <w:tr>
        <w:tc>
          <w:tcPr>
            <w:tcW w:type="dxa" w:w="2160"/>
            <w:tcBorders>
              <w:bottom w:val="single" w:sz="6" w:space="0" w:color="000000"/>
            </w:tcBorders>
          </w:tcPr>
          <w:p>
            <w:pPr>
              <w:spacing w:line="320" w:lineRule="exact"/>
              <w:jc w:val="center"/>
            </w:pPr>
            <w:r>
              <w:rPr>
                <w:rFonts w:ascii="Times New Roman" w:hAnsi="Times New Roman" w:eastAsia="黑体" w:cs="Times New Roman"/>
                <w:b/>
                <w:i w:val="0"/>
                <w:color w:val="000000"/>
                <w:sz w:val="20"/>
              </w:rPr>
              <w:t>威胁形态</w:t>
            </w:r>
          </w:p>
        </w:tc>
        <w:tc>
          <w:tcPr>
            <w:tcW w:type="dxa" w:w="3456"/>
            <w:tcBorders>
              <w:bottom w:val="single" w:sz="6" w:space="0" w:color="000000"/>
            </w:tcBorders>
          </w:tcPr>
          <w:p>
            <w:pPr>
              <w:spacing w:line="320" w:lineRule="exact"/>
              <w:jc w:val="center"/>
            </w:pPr>
            <w:r>
              <w:rPr>
                <w:rFonts w:ascii="Times New Roman" w:hAnsi="Times New Roman" w:eastAsia="黑体" w:cs="Times New Roman"/>
                <w:b/>
                <w:i w:val="0"/>
                <w:color w:val="000000"/>
                <w:sz w:val="20"/>
              </w:rPr>
              <w:t>传统方案安全缺陷</w:t>
            </w:r>
          </w:p>
        </w:tc>
        <w:tc>
          <w:tcPr>
            <w:tcW w:type="dxa" w:w="3744"/>
            <w:tcBorders>
              <w:bottom w:val="single" w:sz="6" w:space="0" w:color="000000"/>
            </w:tcBorders>
          </w:tcPr>
          <w:p>
            <w:pPr>
              <w:spacing w:line="320" w:lineRule="exact"/>
              <w:jc w:val="center"/>
            </w:pPr>
            <w:r>
              <w:rPr>
                <w:rFonts w:ascii="Times New Roman" w:hAnsi="Times New Roman" w:eastAsia="黑体" w:cs="Times New Roman"/>
                <w:b/>
                <w:i w:val="0"/>
                <w:color w:val="000000"/>
                <w:sz w:val="20"/>
              </w:rPr>
              <w:t>SafeVault 工业级防御机制</w:t>
            </w:r>
          </w:p>
        </w:tc>
      </w:tr>
      <w:tr>
        <w:tc>
          <w:tcPr>
            <w:tcW w:type="dxa" w:w="2160"/>
          </w:tcPr>
          <w:p>
            <w:pPr>
              <w:spacing w:line="300" w:lineRule="exact"/>
              <w:jc w:val="center"/>
            </w:pPr>
            <w:r>
              <w:rPr>
                <w:rFonts w:ascii="Times New Roman" w:hAnsi="Times New Roman" w:eastAsia="宋体" w:cs="Times New Roman"/>
                <w:b w:val="0"/>
                <w:i w:val="0"/>
                <w:color w:val="000000"/>
                <w:sz w:val="19"/>
              </w:rPr>
              <w:t>中心化脱库泄漏</w:t>
            </w:r>
          </w:p>
        </w:tc>
        <w:tc>
          <w:tcPr>
            <w:tcW w:type="dxa" w:w="3456"/>
          </w:tcPr>
          <w:p>
            <w:pPr>
              <w:spacing w:line="300" w:lineRule="exact"/>
              <w:jc w:val="left"/>
            </w:pPr>
            <w:r>
              <w:rPr>
                <w:rFonts w:ascii="Times New Roman" w:hAnsi="Times New Roman" w:eastAsia="宋体" w:cs="Times New Roman"/>
                <w:b w:val="0"/>
                <w:i w:val="0"/>
                <w:color w:val="000000"/>
                <w:sz w:val="19"/>
              </w:rPr>
              <w:t>中心化服务器遭渗透导致全库泄漏</w:t>
            </w:r>
          </w:p>
        </w:tc>
        <w:tc>
          <w:tcPr>
            <w:tcW w:type="dxa" w:w="3744"/>
          </w:tcPr>
          <w:p>
            <w:pPr>
              <w:spacing w:line="300" w:lineRule="exact"/>
              <w:jc w:val="left"/>
            </w:pPr>
            <w:r>
              <w:rPr>
                <w:rFonts w:ascii="Times New Roman" w:hAnsi="Times New Roman" w:eastAsia="宋体" w:cs="Times New Roman"/>
                <w:b w:val="0"/>
                <w:i w:val="0"/>
                <w:color w:val="000000"/>
                <w:sz w:val="19"/>
              </w:rPr>
              <w:t>零知识与纯私有架构：无中心化服务器，数据100%保存在用户本地/私有NAS</w:t>
            </w:r>
          </w:p>
        </w:tc>
      </w:tr>
      <w:tr>
        <w:tc>
          <w:tcPr>
            <w:tcW w:type="dxa" w:w="2160"/>
          </w:tcPr>
          <w:p>
            <w:pPr>
              <w:spacing w:line="300" w:lineRule="exact"/>
              <w:jc w:val="center"/>
            </w:pPr>
            <w:r>
              <w:rPr>
                <w:rFonts w:ascii="Times New Roman" w:hAnsi="Times New Roman" w:eastAsia="宋体" w:cs="Times New Roman"/>
                <w:b w:val="0"/>
                <w:i w:val="0"/>
                <w:color w:val="000000"/>
                <w:sz w:val="19"/>
              </w:rPr>
              <w:t>彩虹表离线撞库</w:t>
            </w:r>
          </w:p>
        </w:tc>
        <w:tc>
          <w:tcPr>
            <w:tcW w:type="dxa" w:w="3456"/>
          </w:tcPr>
          <w:p>
            <w:pPr>
              <w:spacing w:line="300" w:lineRule="exact"/>
              <w:jc w:val="left"/>
            </w:pPr>
            <w:r>
              <w:rPr>
                <w:rFonts w:ascii="Times New Roman" w:hAnsi="Times New Roman" w:eastAsia="宋体" w:cs="Times New Roman"/>
                <w:b w:val="0"/>
                <w:i w:val="0"/>
                <w:color w:val="000000"/>
                <w:sz w:val="19"/>
              </w:rPr>
              <w:t>简易哈希或低轮数加密，GPU每秒碰撞百亿次</w:t>
            </w:r>
          </w:p>
        </w:tc>
        <w:tc>
          <w:tcPr>
            <w:tcW w:type="dxa" w:w="3744"/>
          </w:tcPr>
          <w:p>
            <w:pPr>
              <w:spacing w:line="300" w:lineRule="exact"/>
              <w:jc w:val="left"/>
            </w:pPr>
            <w:r>
              <w:rPr>
                <w:rFonts w:ascii="Times New Roman" w:hAnsi="Times New Roman" w:eastAsia="宋体" w:cs="Times New Roman"/>
                <w:b w:val="0"/>
                <w:i w:val="0"/>
                <w:color w:val="000000"/>
                <w:sz w:val="19"/>
              </w:rPr>
              <w:t>PBKDF2-SHA256 100,000 轮高强度拉伸计算，绑定独立16字节随机盐，使彩虹表彻底失效</w:t>
            </w:r>
          </w:p>
        </w:tc>
      </w:tr>
      <w:tr>
        <w:tc>
          <w:tcPr>
            <w:tcW w:type="dxa" w:w="2160"/>
          </w:tcPr>
          <w:p>
            <w:pPr>
              <w:spacing w:line="300" w:lineRule="exact"/>
              <w:jc w:val="center"/>
            </w:pPr>
            <w:r>
              <w:rPr>
                <w:rFonts w:ascii="Times New Roman" w:hAnsi="Times New Roman" w:eastAsia="宋体" w:cs="Times New Roman"/>
                <w:b w:val="0"/>
                <w:i w:val="0"/>
                <w:color w:val="000000"/>
                <w:sz w:val="19"/>
              </w:rPr>
              <w:t>密文篡改与注入</w:t>
            </w:r>
          </w:p>
        </w:tc>
        <w:tc>
          <w:tcPr>
            <w:tcW w:type="dxa" w:w="3456"/>
          </w:tcPr>
          <w:p>
            <w:pPr>
              <w:spacing w:line="300" w:lineRule="exact"/>
              <w:jc w:val="left"/>
            </w:pPr>
            <w:r>
              <w:rPr>
                <w:rFonts w:ascii="Times New Roman" w:hAnsi="Times New Roman" w:eastAsia="宋体" w:cs="Times New Roman"/>
                <w:b w:val="0"/>
                <w:i w:val="0"/>
                <w:color w:val="000000"/>
                <w:sz w:val="19"/>
              </w:rPr>
              <w:t>采用 ECB 或无校验 CBC 模式，易遭比特翻转</w:t>
            </w:r>
          </w:p>
        </w:tc>
        <w:tc>
          <w:tcPr>
            <w:tcW w:type="dxa" w:w="3744"/>
          </w:tcPr>
          <w:p>
            <w:pPr>
              <w:spacing w:line="300" w:lineRule="exact"/>
              <w:jc w:val="left"/>
            </w:pPr>
            <w:r>
              <w:rPr>
                <w:rFonts w:ascii="Times New Roman" w:hAnsi="Times New Roman" w:eastAsia="宋体" w:cs="Times New Roman"/>
                <w:b w:val="0"/>
                <w:i w:val="0"/>
                <w:color w:val="000000"/>
                <w:sz w:val="19"/>
              </w:rPr>
              <w:t>AES-GCM-256 认证加密 (AEAD)，自带128位认证标签，密文篡改哪怕1位直接抛出不可恢复错误</w:t>
            </w:r>
          </w:p>
        </w:tc>
      </w:tr>
      <w:tr>
        <w:tc>
          <w:tcPr>
            <w:tcW w:type="dxa" w:w="2160"/>
          </w:tcPr>
          <w:p>
            <w:pPr>
              <w:spacing w:line="300" w:lineRule="exact"/>
              <w:jc w:val="center"/>
            </w:pPr>
            <w:r>
              <w:rPr>
                <w:rFonts w:ascii="Times New Roman" w:hAnsi="Times New Roman" w:eastAsia="宋体" w:cs="Times New Roman"/>
                <w:b w:val="0"/>
                <w:i w:val="0"/>
                <w:color w:val="000000"/>
                <w:sz w:val="19"/>
              </w:rPr>
              <w:t>重放攻击与模式泄露</w:t>
            </w:r>
          </w:p>
        </w:tc>
        <w:tc>
          <w:tcPr>
            <w:tcW w:type="dxa" w:w="3456"/>
          </w:tcPr>
          <w:p>
            <w:pPr>
              <w:spacing w:line="300" w:lineRule="exact"/>
              <w:jc w:val="left"/>
            </w:pPr>
            <w:r>
              <w:rPr>
                <w:rFonts w:ascii="Times New Roman" w:hAnsi="Times New Roman" w:eastAsia="宋体" w:cs="Times New Roman"/>
                <w:b w:val="0"/>
                <w:i w:val="0"/>
                <w:color w:val="000000"/>
                <w:sz w:val="19"/>
              </w:rPr>
              <w:t>多个条目复用相同固定 IV/Nonce</w:t>
            </w:r>
          </w:p>
        </w:tc>
        <w:tc>
          <w:tcPr>
            <w:tcW w:type="dxa" w:w="3744"/>
          </w:tcPr>
          <w:p>
            <w:pPr>
              <w:spacing w:line="300" w:lineRule="exact"/>
              <w:jc w:val="left"/>
            </w:pPr>
            <w:r>
              <w:rPr>
                <w:rFonts w:ascii="Times New Roman" w:hAnsi="Times New Roman" w:eastAsia="宋体" w:cs="Times New Roman"/>
                <w:b w:val="0"/>
                <w:i w:val="0"/>
                <w:color w:val="000000"/>
                <w:sz w:val="19"/>
              </w:rPr>
              <w:t>独立 96-bit 随机 IV：每个密码条目每次更新均重新生成全局唯一12字节随机向量</w:t>
            </w:r>
          </w:p>
        </w:tc>
      </w:tr>
      <w:tr>
        <w:tc>
          <w:tcPr>
            <w:tcW w:type="dxa" w:w="2160"/>
          </w:tcPr>
          <w:p>
            <w:pPr>
              <w:spacing w:line="300" w:lineRule="exact"/>
              <w:jc w:val="center"/>
            </w:pPr>
            <w:r>
              <w:rPr>
                <w:rFonts w:ascii="Times New Roman" w:hAnsi="Times New Roman" w:eastAsia="宋体" w:cs="Times New Roman"/>
                <w:b w:val="0"/>
                <w:i w:val="0"/>
                <w:color w:val="000000"/>
                <w:sz w:val="19"/>
              </w:rPr>
              <w:t>剪贴板流氓软件嗅探</w:t>
            </w:r>
          </w:p>
        </w:tc>
        <w:tc>
          <w:tcPr>
            <w:tcW w:type="dxa" w:w="3456"/>
          </w:tcPr>
          <w:p>
            <w:pPr>
              <w:spacing w:line="300" w:lineRule="exact"/>
              <w:jc w:val="left"/>
            </w:pPr>
            <w:r>
              <w:rPr>
                <w:rFonts w:ascii="Times New Roman" w:hAnsi="Times New Roman" w:eastAsia="宋体" w:cs="Times New Roman"/>
                <w:b w:val="0"/>
                <w:i w:val="0"/>
                <w:color w:val="000000"/>
                <w:sz w:val="19"/>
              </w:rPr>
              <w:t>复制密码后明文永久滞留在剪贴板被监听</w:t>
            </w:r>
          </w:p>
        </w:tc>
        <w:tc>
          <w:tcPr>
            <w:tcW w:type="dxa" w:w="3744"/>
          </w:tcPr>
          <w:p>
            <w:pPr>
              <w:spacing w:line="300" w:lineRule="exact"/>
              <w:jc w:val="left"/>
            </w:pPr>
            <w:r>
              <w:rPr>
                <w:rFonts w:ascii="Times New Roman" w:hAnsi="Times New Roman" w:eastAsia="宋体" w:cs="Times New Roman"/>
                <w:b w:val="0"/>
                <w:i w:val="0"/>
                <w:color w:val="000000"/>
                <w:sz w:val="19"/>
              </w:rPr>
              <w:t>30 秒安全销毁机制：复制后启动定时器，30秒后自动向剪贴板覆盖空字符彻底抹除</w:t>
            </w:r>
          </w:p>
        </w:tc>
      </w:tr>
    </w:tbl>
    <w:p/>
    <w:p>
      <w:pPr>
        <w:spacing w:before="360" w:after="160" w:line="480" w:lineRule="exact"/>
      </w:pPr>
      <w:r>
        <w:rPr>
          <w:rFonts w:ascii="Times New Roman" w:hAnsi="Times New Roman" w:eastAsia="黑体" w:cs="Times New Roman"/>
          <w:b/>
          <w:i w:val="0"/>
          <w:color w:val="000000"/>
          <w:sz w:val="28"/>
        </w:rPr>
        <w:t>4 机能战术 UI/UX 视觉规范体系 (Design Tokens)</w:t>
      </w:r>
    </w:p>
    <w:p>
      <w:pPr>
        <w:spacing w:before="0" w:after="80" w:line="400" w:lineRule="exact"/>
        <w:ind w:firstLine="480"/>
      </w:pPr>
      <w:r>
        <w:rPr>
          <w:rFonts w:ascii="Times New Roman" w:hAnsi="Times New Roman" w:eastAsia="宋体" w:cs="Times New Roman"/>
          <w:b w:val="0"/>
          <w:i w:val="0"/>
          <w:color w:val="000000"/>
          <w:sz w:val="24"/>
        </w:rPr>
        <w:t>系统深度复现了参考原型中‘据点设施管理终端’的白底机能战术工业风（明日方舟/终末地设计语言），摒弃泛化的随手编码，构建了严密的工业级设计代币体系：</w:t>
      </w:r>
    </w:p>
    <w:p>
      <w:pPr>
        <w:spacing w:before="200" w:after="80"/>
        <w:jc w:val="center"/>
      </w:pPr>
      <w:r>
        <w:rPr>
          <w:rFonts w:ascii="Times New Roman" w:hAnsi="Times New Roman" w:eastAsia="黑体" w:cs="Times New Roman"/>
          <w:b/>
          <w:i w:val="0"/>
          <w:color w:val="000000"/>
          <w:sz w:val="21"/>
        </w:rPr>
        <w:t>表 4  SafeVault 机能战术设计代币 (Design Tokens) 映射规范</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1728"/>
            <w:tcBorders>
              <w:bottom w:val="single" w:sz="6" w:space="0" w:color="000000"/>
            </w:tcBorders>
          </w:tcPr>
          <w:p>
            <w:pPr>
              <w:spacing w:line="320" w:lineRule="exact"/>
              <w:jc w:val="center"/>
            </w:pPr>
            <w:r>
              <w:rPr>
                <w:rFonts w:ascii="Times New Roman" w:hAnsi="Times New Roman" w:eastAsia="黑体" w:cs="Times New Roman"/>
                <w:b/>
                <w:i w:val="0"/>
                <w:color w:val="000000"/>
                <w:sz w:val="20"/>
              </w:rPr>
              <w:t>代币类别</w:t>
            </w:r>
          </w:p>
        </w:tc>
        <w:tc>
          <w:tcPr>
            <w:tcW w:type="dxa" w:w="2160"/>
            <w:tcBorders>
              <w:bottom w:val="single" w:sz="6" w:space="0" w:color="000000"/>
            </w:tcBorders>
          </w:tcPr>
          <w:p>
            <w:pPr>
              <w:spacing w:line="320" w:lineRule="exact"/>
              <w:jc w:val="center"/>
            </w:pPr>
            <w:r>
              <w:rPr>
                <w:rFonts w:ascii="Times New Roman" w:hAnsi="Times New Roman" w:eastAsia="黑体" w:cs="Times New Roman"/>
                <w:b/>
                <w:i w:val="0"/>
                <w:color w:val="000000"/>
                <w:sz w:val="20"/>
              </w:rPr>
              <w:t>代币名称 / 代码</w:t>
            </w:r>
          </w:p>
        </w:tc>
        <w:tc>
          <w:tcPr>
            <w:tcW w:type="dxa" w:w="2592"/>
            <w:tcBorders>
              <w:bottom w:val="single" w:sz="6" w:space="0" w:color="000000"/>
            </w:tcBorders>
          </w:tcPr>
          <w:p>
            <w:pPr>
              <w:spacing w:line="320" w:lineRule="exact"/>
              <w:jc w:val="center"/>
            </w:pPr>
            <w:r>
              <w:rPr>
                <w:rFonts w:ascii="Times New Roman" w:hAnsi="Times New Roman" w:eastAsia="黑体" w:cs="Times New Roman"/>
                <w:b/>
                <w:i w:val="0"/>
                <w:color w:val="000000"/>
                <w:sz w:val="20"/>
              </w:rPr>
              <w:t>色值与几何参数</w:t>
            </w:r>
          </w:p>
        </w:tc>
        <w:tc>
          <w:tcPr>
            <w:tcW w:type="dxa" w:w="2736"/>
            <w:tcBorders>
              <w:bottom w:val="single" w:sz="6" w:space="0" w:color="000000"/>
            </w:tcBorders>
          </w:tcPr>
          <w:p>
            <w:pPr>
              <w:spacing w:line="320" w:lineRule="exact"/>
              <w:jc w:val="center"/>
            </w:pPr>
            <w:r>
              <w:rPr>
                <w:rFonts w:ascii="Times New Roman" w:hAnsi="Times New Roman" w:eastAsia="黑体" w:cs="Times New Roman"/>
                <w:b/>
                <w:i w:val="0"/>
                <w:color w:val="000000"/>
                <w:sz w:val="20"/>
              </w:rPr>
              <w:t>设计语义与界面应用场景</w:t>
            </w:r>
          </w:p>
        </w:tc>
      </w:tr>
      <w:tr>
        <w:tc>
          <w:tcPr>
            <w:tcW w:type="dxa" w:w="1728"/>
          </w:tcPr>
          <w:p>
            <w:pPr>
              <w:spacing w:line="300" w:lineRule="exact"/>
              <w:jc w:val="center"/>
            </w:pPr>
            <w:r>
              <w:rPr>
                <w:rFonts w:ascii="Times New Roman" w:hAnsi="Times New Roman" w:eastAsia="宋体" w:cs="Times New Roman"/>
                <w:b w:val="0"/>
                <w:i w:val="0"/>
                <w:color w:val="000000"/>
                <w:sz w:val="19"/>
              </w:rPr>
              <w:t>品牌强调色</w:t>
            </w:r>
          </w:p>
        </w:tc>
        <w:tc>
          <w:tcPr>
            <w:tcW w:type="dxa" w:w="2160"/>
          </w:tcPr>
          <w:p>
            <w:pPr>
              <w:spacing w:line="300" w:lineRule="exact"/>
              <w:jc w:val="center"/>
            </w:pPr>
            <w:r>
              <w:rPr>
                <w:rFonts w:ascii="Times New Roman" w:hAnsi="Times New Roman" w:eastAsia="宋体" w:cs="Times New Roman"/>
                <w:b w:val="0"/>
                <w:i w:val="0"/>
                <w:color w:val="000000"/>
                <w:sz w:val="19"/>
              </w:rPr>
              <w:t>brand-lime</w:t>
            </w:r>
          </w:p>
        </w:tc>
        <w:tc>
          <w:tcPr>
            <w:tcW w:type="dxa" w:w="2592"/>
          </w:tcPr>
          <w:p>
            <w:pPr>
              <w:spacing w:line="300" w:lineRule="exact"/>
              <w:jc w:val="left"/>
            </w:pPr>
            <w:r>
              <w:rPr>
                <w:rFonts w:ascii="Times New Roman" w:hAnsi="Times New Roman" w:eastAsia="宋体" w:cs="Times New Roman"/>
                <w:b w:val="0"/>
                <w:i w:val="0"/>
                <w:color w:val="000000"/>
                <w:sz w:val="19"/>
              </w:rPr>
              <w:t>#c8f135 (荧光酸性黄绿)</w:t>
            </w:r>
          </w:p>
        </w:tc>
        <w:tc>
          <w:tcPr>
            <w:tcW w:type="dxa" w:w="2736"/>
          </w:tcPr>
          <w:p>
            <w:pPr>
              <w:spacing w:line="300" w:lineRule="exact"/>
              <w:jc w:val="left"/>
            </w:pPr>
            <w:r>
              <w:rPr>
                <w:rFonts w:ascii="Times New Roman" w:hAnsi="Times New Roman" w:eastAsia="宋体" w:cs="Times New Roman"/>
                <w:b w:val="0"/>
                <w:i w:val="0"/>
                <w:color w:val="000000"/>
                <w:sz w:val="19"/>
              </w:rPr>
              <w:t>章节左侧粗竖标、按钮箭头色块、HUD雷达弧线、运行状态点</w:t>
            </w:r>
          </w:p>
        </w:tc>
      </w:tr>
      <w:tr>
        <w:tc>
          <w:tcPr>
            <w:tcW w:type="dxa" w:w="1728"/>
          </w:tcPr>
          <w:p>
            <w:pPr>
              <w:spacing w:line="300" w:lineRule="exact"/>
              <w:jc w:val="center"/>
            </w:pPr>
            <w:r>
              <w:rPr>
                <w:rFonts w:ascii="Times New Roman" w:hAnsi="Times New Roman" w:eastAsia="宋体" w:cs="Times New Roman"/>
                <w:b w:val="0"/>
                <w:i w:val="0"/>
                <w:color w:val="000000"/>
                <w:sz w:val="19"/>
              </w:rPr>
              <w:t>战术深色块</w:t>
            </w:r>
          </w:p>
        </w:tc>
        <w:tc>
          <w:tcPr>
            <w:tcW w:type="dxa" w:w="2160"/>
          </w:tcPr>
          <w:p>
            <w:pPr>
              <w:spacing w:line="300" w:lineRule="exact"/>
              <w:jc w:val="center"/>
            </w:pPr>
            <w:r>
              <w:rPr>
                <w:rFonts w:ascii="Times New Roman" w:hAnsi="Times New Roman" w:eastAsia="宋体" w:cs="Times New Roman"/>
                <w:b w:val="0"/>
                <w:i w:val="0"/>
                <w:color w:val="000000"/>
                <w:sz w:val="19"/>
              </w:rPr>
              <w:t>tactical-900</w:t>
            </w:r>
          </w:p>
        </w:tc>
        <w:tc>
          <w:tcPr>
            <w:tcW w:type="dxa" w:w="2592"/>
          </w:tcPr>
          <w:p>
            <w:pPr>
              <w:spacing w:line="300" w:lineRule="exact"/>
              <w:jc w:val="left"/>
            </w:pPr>
            <w:r>
              <w:rPr>
                <w:rFonts w:ascii="Times New Roman" w:hAnsi="Times New Roman" w:eastAsia="宋体" w:cs="Times New Roman"/>
                <w:b w:val="0"/>
                <w:i w:val="0"/>
                <w:color w:val="000000"/>
                <w:sz w:val="19"/>
              </w:rPr>
              <w:t>#161922 (机甲深炭灰)</w:t>
            </w:r>
          </w:p>
        </w:tc>
        <w:tc>
          <w:tcPr>
            <w:tcW w:type="dxa" w:w="2736"/>
          </w:tcPr>
          <w:p>
            <w:pPr>
              <w:spacing w:line="300" w:lineRule="exact"/>
              <w:jc w:val="left"/>
            </w:pPr>
            <w:r>
              <w:rPr>
                <w:rFonts w:ascii="Times New Roman" w:hAnsi="Times New Roman" w:eastAsia="宋体" w:cs="Times New Roman"/>
                <w:b w:val="0"/>
                <w:i w:val="0"/>
                <w:color w:val="000000"/>
                <w:sz w:val="19"/>
              </w:rPr>
              <w:t>选中态菜单背景、大行动按钮主体、高权重控制卡片</w:t>
            </w:r>
          </w:p>
        </w:tc>
      </w:tr>
      <w:tr>
        <w:tc>
          <w:tcPr>
            <w:tcW w:type="dxa" w:w="1728"/>
          </w:tcPr>
          <w:p>
            <w:pPr>
              <w:spacing w:line="300" w:lineRule="exact"/>
              <w:jc w:val="center"/>
            </w:pPr>
            <w:r>
              <w:rPr>
                <w:rFonts w:ascii="Times New Roman" w:hAnsi="Times New Roman" w:eastAsia="宋体" w:cs="Times New Roman"/>
                <w:b w:val="0"/>
                <w:i w:val="0"/>
                <w:color w:val="000000"/>
                <w:sz w:val="19"/>
              </w:rPr>
              <w:t>工程底纹</w:t>
            </w:r>
          </w:p>
        </w:tc>
        <w:tc>
          <w:tcPr>
            <w:tcW w:type="dxa" w:w="2160"/>
          </w:tcPr>
          <w:p>
            <w:pPr>
              <w:spacing w:line="300" w:lineRule="exact"/>
              <w:jc w:val="center"/>
            </w:pPr>
            <w:r>
              <w:rPr>
                <w:rFonts w:ascii="Times New Roman" w:hAnsi="Times New Roman" w:eastAsia="宋体" w:cs="Times New Roman"/>
                <w:b w:val="0"/>
                <w:i w:val="0"/>
                <w:color w:val="000000"/>
                <w:sz w:val="19"/>
              </w:rPr>
              <w:t>slate-canvas</w:t>
            </w:r>
          </w:p>
        </w:tc>
        <w:tc>
          <w:tcPr>
            <w:tcW w:type="dxa" w:w="2592"/>
          </w:tcPr>
          <w:p>
            <w:pPr>
              <w:spacing w:line="300" w:lineRule="exact"/>
              <w:jc w:val="left"/>
            </w:pPr>
            <w:r>
              <w:rPr>
                <w:rFonts w:ascii="Times New Roman" w:hAnsi="Times New Roman" w:eastAsia="宋体" w:cs="Times New Roman"/>
                <w:b w:val="0"/>
                <w:i w:val="0"/>
                <w:color w:val="000000"/>
                <w:sz w:val="19"/>
              </w:rPr>
              <w:t>#f1f3f7 + 24px 点阵网格</w:t>
            </w:r>
          </w:p>
        </w:tc>
        <w:tc>
          <w:tcPr>
            <w:tcW w:type="dxa" w:w="2736"/>
          </w:tcPr>
          <w:p>
            <w:pPr>
              <w:spacing w:line="300" w:lineRule="exact"/>
              <w:jc w:val="left"/>
            </w:pPr>
            <w:r>
              <w:rPr>
                <w:rFonts w:ascii="Times New Roman" w:hAnsi="Times New Roman" w:eastAsia="宋体" w:cs="Times New Roman"/>
                <w:b w:val="0"/>
                <w:i w:val="0"/>
                <w:color w:val="000000"/>
                <w:sz w:val="19"/>
              </w:rPr>
              <w:t>明亮微灰工程画布，淡灰十字标线与背景技术刻度</w:t>
            </w:r>
          </w:p>
        </w:tc>
      </w:tr>
      <w:tr>
        <w:tc>
          <w:tcPr>
            <w:tcW w:type="dxa" w:w="1728"/>
          </w:tcPr>
          <w:p>
            <w:pPr>
              <w:spacing w:line="300" w:lineRule="exact"/>
              <w:jc w:val="center"/>
            </w:pPr>
            <w:r>
              <w:rPr>
                <w:rFonts w:ascii="Times New Roman" w:hAnsi="Times New Roman" w:eastAsia="宋体" w:cs="Times New Roman"/>
                <w:b w:val="0"/>
                <w:i w:val="0"/>
                <w:color w:val="000000"/>
                <w:sz w:val="19"/>
              </w:rPr>
              <w:t>表面卡片</w:t>
            </w:r>
          </w:p>
        </w:tc>
        <w:tc>
          <w:tcPr>
            <w:tcW w:type="dxa" w:w="2160"/>
          </w:tcPr>
          <w:p>
            <w:pPr>
              <w:spacing w:line="300" w:lineRule="exact"/>
              <w:jc w:val="center"/>
            </w:pPr>
            <w:r>
              <w:rPr>
                <w:rFonts w:ascii="Times New Roman" w:hAnsi="Times New Roman" w:eastAsia="宋体" w:cs="Times New Roman"/>
                <w:b w:val="0"/>
                <w:i w:val="0"/>
                <w:color w:val="000000"/>
                <w:sz w:val="19"/>
              </w:rPr>
              <w:t>surface-card</w:t>
            </w:r>
          </w:p>
        </w:tc>
        <w:tc>
          <w:tcPr>
            <w:tcW w:type="dxa" w:w="2592"/>
          </w:tcPr>
          <w:p>
            <w:pPr>
              <w:spacing w:line="300" w:lineRule="exact"/>
              <w:jc w:val="left"/>
            </w:pPr>
            <w:r>
              <w:rPr>
                <w:rFonts w:ascii="Times New Roman" w:hAnsi="Times New Roman" w:eastAsia="宋体" w:cs="Times New Roman"/>
                <w:b w:val="0"/>
                <w:i w:val="0"/>
                <w:color w:val="000000"/>
                <w:sz w:val="19"/>
              </w:rPr>
              <w:t>#ffffff (纯白高光卡片)</w:t>
            </w:r>
          </w:p>
        </w:tc>
        <w:tc>
          <w:tcPr>
            <w:tcW w:type="dxa" w:w="2736"/>
          </w:tcPr>
          <w:p>
            <w:pPr>
              <w:spacing w:line="300" w:lineRule="exact"/>
              <w:jc w:val="left"/>
            </w:pPr>
            <w:r>
              <w:rPr>
                <w:rFonts w:ascii="Times New Roman" w:hAnsi="Times New Roman" w:eastAsia="宋体" w:cs="Times New Roman"/>
                <w:b w:val="0"/>
                <w:i w:val="0"/>
                <w:color w:val="000000"/>
                <w:sz w:val="19"/>
              </w:rPr>
              <w:t>槽位卡片、看板面板、弹窗容器，配以 #dce1eb 细边框</w:t>
            </w:r>
          </w:p>
        </w:tc>
      </w:tr>
      <w:tr>
        <w:tc>
          <w:tcPr>
            <w:tcW w:type="dxa" w:w="1728"/>
          </w:tcPr>
          <w:p>
            <w:pPr>
              <w:spacing w:line="300" w:lineRule="exact"/>
              <w:jc w:val="center"/>
            </w:pPr>
            <w:r>
              <w:rPr>
                <w:rFonts w:ascii="Times New Roman" w:hAnsi="Times New Roman" w:eastAsia="宋体" w:cs="Times New Roman"/>
                <w:b w:val="0"/>
                <w:i w:val="0"/>
                <w:color w:val="000000"/>
                <w:sz w:val="19"/>
              </w:rPr>
              <w:t>战术角标</w:t>
            </w:r>
          </w:p>
        </w:tc>
        <w:tc>
          <w:tcPr>
            <w:tcW w:type="dxa" w:w="2160"/>
          </w:tcPr>
          <w:p>
            <w:pPr>
              <w:spacing w:line="300" w:lineRule="exact"/>
              <w:jc w:val="center"/>
            </w:pPr>
            <w:r>
              <w:rPr>
                <w:rFonts w:ascii="Times New Roman" w:hAnsi="Times New Roman" w:eastAsia="宋体" w:cs="Times New Roman"/>
                <w:b w:val="0"/>
                <w:i w:val="0"/>
                <w:color w:val="000000"/>
                <w:sz w:val="19"/>
              </w:rPr>
              <w:t>corner-ticks</w:t>
            </w:r>
          </w:p>
        </w:tc>
        <w:tc>
          <w:tcPr>
            <w:tcW w:type="dxa" w:w="2592"/>
          </w:tcPr>
          <w:p>
            <w:pPr>
              <w:spacing w:line="300" w:lineRule="exact"/>
              <w:jc w:val="left"/>
            </w:pPr>
            <w:r>
              <w:rPr>
                <w:rFonts w:ascii="Times New Roman" w:hAnsi="Times New Roman" w:eastAsia="宋体" w:cs="Times New Roman"/>
                <w:b w:val="0"/>
                <w:i w:val="0"/>
                <w:color w:val="000000"/>
                <w:sz w:val="19"/>
              </w:rPr>
              <w:t>4px 战术角标 ┌ ┐ └ ┘</w:t>
            </w:r>
          </w:p>
        </w:tc>
        <w:tc>
          <w:tcPr>
            <w:tcW w:type="dxa" w:w="2736"/>
          </w:tcPr>
          <w:p>
            <w:pPr>
              <w:spacing w:line="300" w:lineRule="exact"/>
              <w:jc w:val="left"/>
            </w:pPr>
            <w:r>
              <w:rPr>
                <w:rFonts w:ascii="Times New Roman" w:hAnsi="Times New Roman" w:eastAsia="宋体" w:cs="Times New Roman"/>
                <w:b w:val="0"/>
                <w:i w:val="0"/>
                <w:color w:val="000000"/>
                <w:sz w:val="19"/>
              </w:rPr>
              <w:t>卡片切角与四角刻度装饰，凸显精工机械感与工业秩序</w:t>
            </w:r>
          </w:p>
        </w:tc>
      </w:tr>
    </w:tbl>
    <w:p/>
    <w:p>
      <w:pPr>
        <w:spacing w:before="240" w:after="80" w:line="400" w:lineRule="exact"/>
      </w:pPr>
      <w:r>
        <w:rPr>
          <w:rFonts w:ascii="Times New Roman" w:hAnsi="Times New Roman" w:eastAsia="黑体" w:cs="Times New Roman"/>
          <w:b/>
          <w:i w:val="0"/>
          <w:color w:val="000000"/>
          <w:sz w:val="24"/>
        </w:rPr>
        <w:t>4.1 四大核心战术组件像素级还原实操</w:t>
      </w:r>
    </w:p>
    <w:p>
      <w:pPr>
        <w:spacing w:before="0" w:after="80" w:line="400" w:lineRule="exact"/>
        <w:ind w:firstLine="480"/>
      </w:pPr>
      <w:r>
        <w:rPr>
          <w:rFonts w:ascii="Times New Roman" w:hAnsi="Times New Roman" w:eastAsia="宋体" w:cs="Times New Roman"/>
          <w:b w:val="0"/>
          <w:i w:val="0"/>
          <w:color w:val="000000"/>
          <w:sz w:val="24"/>
        </w:rPr>
        <w:t>1. 竖向战术编号菜单 (Sidebar)：位于桌面左侧（w-48，192px），罗列 00 全部凭据、01 网站、02 办公、03 金融等分类。激活项切换为炭黑底色 #161922，左侧边缘嵌入一条 4px 荧光绿亮条，文字纯白加粗，右侧显示等宽两位数编号；</w:t>
      </w:r>
    </w:p>
    <w:p>
      <w:pPr>
        <w:spacing w:before="0" w:after="80" w:line="400" w:lineRule="exact"/>
        <w:ind w:firstLine="480"/>
      </w:pPr>
      <w:r>
        <w:rPr>
          <w:rFonts w:ascii="Times New Roman" w:hAnsi="Times New Roman" w:eastAsia="宋体" w:cs="Times New Roman"/>
          <w:b w:val="0"/>
          <w:i w:val="0"/>
          <w:color w:val="000000"/>
          <w:sz w:val="24"/>
        </w:rPr>
        <w:t>2. 核心监控看板 (HUD &amp; Ratio 1/4)：位于界面中上部，大字号呈现已存槽位比率（如 12 / 100，text-5xl font-mono），下方水平并列四列带绿色短竖线的参数格（当前槽位、AES-GCM、纯本地/NAS、100满防），右上背景装饰虚线圆环与工程编号 #0027；</w:t>
      </w:r>
    </w:p>
    <w:p>
      <w:pPr>
        <w:spacing w:before="0" w:after="80" w:line="400" w:lineRule="exact"/>
        <w:ind w:firstLine="480"/>
      </w:pPr>
      <w:r>
        <w:rPr>
          <w:rFonts w:ascii="Times New Roman" w:hAnsi="Times New Roman" w:eastAsia="宋体" w:cs="Times New Roman"/>
          <w:b w:val="0"/>
          <w:i w:val="0"/>
          <w:color w:val="000000"/>
          <w:sz w:val="24"/>
        </w:rPr>
        <w:t>3. 空槽位建造卡片 ([+] EmptySlot)：排布于凭据网格末端，采用 2px 浅灰虚线边框、居中圆形大加号、‘空槽位 / 点击录入新的密码凭据’文案与右下角折角标 ┘，悬停时微放大，重现参考图基地建造交互；</w:t>
      </w:r>
    </w:p>
    <w:p>
      <w:pPr>
        <w:spacing w:before="0" w:after="80" w:line="400" w:lineRule="exact"/>
        <w:ind w:firstLine="480"/>
      </w:pPr>
      <w:r>
        <w:rPr>
          <w:rFonts w:ascii="Times New Roman" w:hAnsi="Times New Roman" w:eastAsia="宋体" w:cs="Times New Roman"/>
          <w:b w:val="0"/>
          <w:i w:val="0"/>
          <w:color w:val="000000"/>
          <w:sz w:val="24"/>
        </w:rPr>
        <w:t>4. 斜切推进按钮 (&gt; ActionButton)：主行动按钮左侧嵌入鲜亮荧光绿色块与黑色 &gt; 箭头，右侧承载加粗文字与等宽副标（如 CSPRNG RANDOM），极具点击指引感与战术冲击力。</w:t>
      </w:r>
    </w:p>
    <w:p>
      <w:pPr>
        <w:spacing w:before="360" w:after="160" w:line="480" w:lineRule="exact"/>
      </w:pPr>
      <w:r>
        <w:rPr>
          <w:rFonts w:ascii="Times New Roman" w:hAnsi="Times New Roman" w:eastAsia="黑体" w:cs="Times New Roman"/>
          <w:b/>
          <w:i w:val="0"/>
          <w:color w:val="000000"/>
          <w:sz w:val="28"/>
        </w:rPr>
        <w:t>5 核心数据实体与接口契约设计</w:t>
      </w:r>
    </w:p>
    <w:p>
      <w:pPr>
        <w:spacing w:before="0" w:after="80" w:line="400" w:lineRule="exact"/>
        <w:ind w:firstLine="480"/>
      </w:pPr>
      <w:r>
        <w:rPr>
          <w:rFonts w:ascii="Times New Roman" w:hAnsi="Times New Roman" w:eastAsia="宋体" w:cs="Times New Roman"/>
          <w:b w:val="0"/>
          <w:i w:val="0"/>
          <w:color w:val="000000"/>
          <w:sz w:val="24"/>
        </w:rPr>
        <w:t>系统全面贯彻 TypeScript 强类型约束，契约模型与规格文档保持严格双向对齐，无任何 any 类型漏洞：</w:t>
      </w:r>
    </w:p>
    <w:p>
      <w:pPr>
        <w:spacing w:before="120" w:after="40"/>
        <w:ind w:left="480"/>
      </w:pPr>
      <w:r>
        <w:rPr>
          <w:rFonts w:ascii="Times New Roman" w:hAnsi="Times New Roman" w:eastAsia="黑体" w:cs="Times New Roman"/>
          <w:b/>
          <w:i w:val="0"/>
          <w:color w:val="000000"/>
          <w:sz w:val="21"/>
        </w:rPr>
        <w:t>【核心 TypeScript 数据契约定义】</w:t>
      </w:r>
    </w:p>
    <w:p>
      <w:pPr>
        <w:spacing w:before="0" w:after="20" w:line="300" w:lineRule="exact"/>
        <w:ind w:left="720"/>
      </w:pPr>
      <w:r>
        <w:rPr>
          <w:rFonts w:ascii="Consolas" w:hAnsi="Consolas" w:eastAsia="仿宋" w:cs="Consolas"/>
          <w:b w:val="0"/>
          <w:i w:val="0"/>
          <w:color w:val="000000"/>
          <w:sz w:val="19"/>
        </w:rPr>
        <w:t>// 1. 金库配置与验证实体</w:t>
      </w:r>
    </w:p>
    <w:p>
      <w:pPr>
        <w:spacing w:before="0" w:after="20" w:line="300" w:lineRule="exact"/>
        <w:ind w:left="720"/>
      </w:pPr>
      <w:r>
        <w:rPr>
          <w:rFonts w:ascii="Consolas" w:hAnsi="Consolas" w:eastAsia="仿宋" w:cs="Consolas"/>
          <w:b w:val="0"/>
          <w:i w:val="0"/>
          <w:color w:val="000000"/>
          <w:sz w:val="19"/>
        </w:rPr>
        <w:t>export interface VaultMeta {</w:t>
      </w:r>
    </w:p>
    <w:p>
      <w:pPr>
        <w:spacing w:before="0" w:after="20" w:line="300" w:lineRule="exact"/>
        <w:ind w:left="720"/>
      </w:pPr>
      <w:r>
        <w:rPr>
          <w:rFonts w:ascii="Consolas" w:hAnsi="Consolas" w:eastAsia="仿宋" w:cs="Consolas"/>
          <w:b w:val="0"/>
          <w:i w:val="0"/>
          <w:color w:val="000000"/>
          <w:sz w:val="19"/>
        </w:rPr>
        <w:t xml:space="preserve">  version: string;             // 规格版本号，固定 '1.0'</w:t>
      </w:r>
    </w:p>
    <w:p>
      <w:pPr>
        <w:spacing w:before="0" w:after="20" w:line="300" w:lineRule="exact"/>
        <w:ind w:left="720"/>
      </w:pPr>
      <w:r>
        <w:rPr>
          <w:rFonts w:ascii="Consolas" w:hAnsi="Consolas" w:eastAsia="仿宋" w:cs="Consolas"/>
          <w:b w:val="0"/>
          <w:i w:val="0"/>
          <w:color w:val="000000"/>
          <w:sz w:val="19"/>
        </w:rPr>
        <w:t xml:space="preserve">  salt: string;                // Base64 16字节随机盐值 (用于 PBKDF2)</w:t>
      </w:r>
    </w:p>
    <w:p>
      <w:pPr>
        <w:spacing w:before="0" w:after="20" w:line="300" w:lineRule="exact"/>
        <w:ind w:left="720"/>
      </w:pPr>
      <w:r>
        <w:rPr>
          <w:rFonts w:ascii="Consolas" w:hAnsi="Consolas" w:eastAsia="仿宋" w:cs="Consolas"/>
          <w:b w:val="0"/>
          <w:i w:val="0"/>
          <w:color w:val="000000"/>
          <w:sz w:val="19"/>
        </w:rPr>
        <w:t xml:space="preserve">  testCipher: string;          // 鉴权特征密文</w:t>
      </w:r>
    </w:p>
    <w:p>
      <w:pPr>
        <w:spacing w:before="0" w:after="20" w:line="300" w:lineRule="exact"/>
        <w:ind w:left="720"/>
      </w:pPr>
      <w:r>
        <w:rPr>
          <w:rFonts w:ascii="Consolas" w:hAnsi="Consolas" w:eastAsia="仿宋" w:cs="Consolas"/>
          <w:b w:val="0"/>
          <w:i w:val="0"/>
          <w:color w:val="000000"/>
          <w:sz w:val="19"/>
        </w:rPr>
        <w:t xml:space="preserve">  testIv: string;              // 12字节随机IV (Base64)</w:t>
      </w:r>
    </w:p>
    <w:p>
      <w:pPr>
        <w:spacing w:before="0" w:after="20" w:line="300" w:lineRule="exact"/>
        <w:ind w:left="720"/>
      </w:pPr>
      <w:r>
        <w:rPr>
          <w:rFonts w:ascii="Consolas" w:hAnsi="Consolas" w:eastAsia="仿宋" w:cs="Consolas"/>
          <w:b w:val="0"/>
          <w:i w:val="0"/>
          <w:color w:val="000000"/>
          <w:sz w:val="19"/>
        </w:rPr>
        <w:t xml:space="preserve">  lockTimeoutMinutes: number;  // 默认 3 分钟</w:t>
      </w:r>
    </w:p>
    <w:p>
      <w:pPr>
        <w:spacing w:before="0" w:after="20" w:line="300" w:lineRule="exact"/>
        <w:ind w:left="720"/>
      </w:pPr>
      <w:r>
        <w:rPr>
          <w:rFonts w:ascii="Consolas" w:hAnsi="Consolas" w:eastAsia="仿宋" w:cs="Consolas"/>
          <w:b w:val="0"/>
          <w:i w:val="0"/>
          <w:color w:val="000000"/>
          <w:sz w:val="19"/>
        </w:rPr>
        <w:t xml:space="preserve">  createdAt: string;           // ISO 8601 时间戳</w:t>
      </w:r>
    </w:p>
    <w:p>
      <w:pPr>
        <w:spacing w:before="0" w:after="20" w:line="300" w:lineRule="exact"/>
        <w:ind w:left="720"/>
      </w:pPr>
      <w:r>
        <w:rPr>
          <w:rFonts w:ascii="Consolas" w:hAnsi="Consolas" w:eastAsia="仿宋" w:cs="Consolas"/>
          <w:b w:val="0"/>
          <w:i w:val="0"/>
          <w:color w:val="000000"/>
          <w:sz w:val="19"/>
        </w:rPr>
        <w:t xml:space="preserve">  updatedAt: string;           // 最后修改时间戳</w:t>
      </w:r>
    </w:p>
    <w:p>
      <w:pPr>
        <w:spacing w:before="0" w:after="20" w:line="300" w:lineRule="exact"/>
        <w:ind w:left="720"/>
      </w:pPr>
      <w:r>
        <w:rPr>
          <w:rFonts w:ascii="Consolas" w:hAnsi="Consolas" w:eastAsia="仿宋" w:cs="Consolas"/>
          <w:b w:val="0"/>
          <w:i w:val="0"/>
          <w:color w:val="000000"/>
          <w:sz w:val="19"/>
        </w:rPr>
        <w:t>}</w:t>
      </w:r>
    </w:p>
    <w:p>
      <w:pPr>
        <w:spacing w:before="0" w:after="20" w:line="300" w:lineRule="exact"/>
        <w:ind w:left="720"/>
      </w:pPr>
      <w:r>
        <w:rPr>
          <w:rFonts w:ascii="Consolas" w:hAnsi="Consolas" w:eastAsia="仿宋" w:cs="Consolas"/>
          <w:b w:val="0"/>
          <w:i w:val="0"/>
          <w:color w:val="000000"/>
          <w:sz w:val="19"/>
        </w:rPr>
      </w:r>
    </w:p>
    <w:p>
      <w:pPr>
        <w:spacing w:before="0" w:after="20" w:line="300" w:lineRule="exact"/>
        <w:ind w:left="720"/>
      </w:pPr>
      <w:r>
        <w:rPr>
          <w:rFonts w:ascii="Consolas" w:hAnsi="Consolas" w:eastAsia="仿宋" w:cs="Consolas"/>
          <w:b w:val="0"/>
          <w:i w:val="0"/>
          <w:color w:val="000000"/>
          <w:sz w:val="19"/>
        </w:rPr>
        <w:t>// 2. 密文落盘存储条目</w:t>
      </w:r>
    </w:p>
    <w:p>
      <w:pPr>
        <w:spacing w:before="0" w:after="20" w:line="300" w:lineRule="exact"/>
        <w:ind w:left="720"/>
      </w:pPr>
      <w:r>
        <w:rPr>
          <w:rFonts w:ascii="Consolas" w:hAnsi="Consolas" w:eastAsia="仿宋" w:cs="Consolas"/>
          <w:b w:val="0"/>
          <w:i w:val="0"/>
          <w:color w:val="000000"/>
          <w:sz w:val="19"/>
        </w:rPr>
        <w:t>export type CategoryType = 'website' | 'work' | 'finance' | 'social' | 'game' | 'other';</w:t>
      </w:r>
    </w:p>
    <w:p>
      <w:pPr>
        <w:spacing w:before="0" w:after="20" w:line="300" w:lineRule="exact"/>
        <w:ind w:left="720"/>
      </w:pPr>
      <w:r>
        <w:rPr>
          <w:rFonts w:ascii="Consolas" w:hAnsi="Consolas" w:eastAsia="仿宋" w:cs="Consolas"/>
          <w:b w:val="0"/>
          <w:i w:val="0"/>
          <w:color w:val="000000"/>
          <w:sz w:val="19"/>
        </w:rPr>
      </w:r>
    </w:p>
    <w:p>
      <w:pPr>
        <w:spacing w:before="0" w:after="20" w:line="300" w:lineRule="exact"/>
        <w:ind w:left="720"/>
      </w:pPr>
      <w:r>
        <w:rPr>
          <w:rFonts w:ascii="Consolas" w:hAnsi="Consolas" w:eastAsia="仿宋" w:cs="Consolas"/>
          <w:b w:val="0"/>
          <w:i w:val="0"/>
          <w:color w:val="000000"/>
          <w:sz w:val="19"/>
        </w:rPr>
        <w:t>export interface EncryptedVaultItem {</w:t>
      </w:r>
    </w:p>
    <w:p>
      <w:pPr>
        <w:spacing w:before="0" w:after="20" w:line="300" w:lineRule="exact"/>
        <w:ind w:left="720"/>
      </w:pPr>
      <w:r>
        <w:rPr>
          <w:rFonts w:ascii="Consolas" w:hAnsi="Consolas" w:eastAsia="仿宋" w:cs="Consolas"/>
          <w:b w:val="0"/>
          <w:i w:val="0"/>
          <w:color w:val="000000"/>
          <w:sz w:val="19"/>
        </w:rPr>
        <w:t xml:space="preserve">  id: string;                  // UUID</w:t>
      </w:r>
    </w:p>
    <w:p>
      <w:pPr>
        <w:spacing w:before="0" w:after="20" w:line="300" w:lineRule="exact"/>
        <w:ind w:left="720"/>
      </w:pPr>
      <w:r>
        <w:rPr>
          <w:rFonts w:ascii="Consolas" w:hAnsi="Consolas" w:eastAsia="仿宋" w:cs="Consolas"/>
          <w:b w:val="0"/>
          <w:i w:val="0"/>
          <w:color w:val="000000"/>
          <w:sz w:val="19"/>
        </w:rPr>
        <w:t xml:space="preserve">  title: string;               // 平台标题 (明文索引)</w:t>
      </w:r>
    </w:p>
    <w:p>
      <w:pPr>
        <w:spacing w:before="0" w:after="20" w:line="300" w:lineRule="exact"/>
        <w:ind w:left="720"/>
      </w:pPr>
      <w:r>
        <w:rPr>
          <w:rFonts w:ascii="Consolas" w:hAnsi="Consolas" w:eastAsia="仿宋" w:cs="Consolas"/>
          <w:b w:val="0"/>
          <w:i w:val="0"/>
          <w:color w:val="000000"/>
          <w:sz w:val="19"/>
        </w:rPr>
        <w:t xml:space="preserve">  category: CategoryType;      // 所属战术分类</w:t>
      </w:r>
    </w:p>
    <w:p>
      <w:pPr>
        <w:spacing w:before="0" w:after="20" w:line="300" w:lineRule="exact"/>
        <w:ind w:left="720"/>
      </w:pPr>
      <w:r>
        <w:rPr>
          <w:rFonts w:ascii="Consolas" w:hAnsi="Consolas" w:eastAsia="仿宋" w:cs="Consolas"/>
          <w:b w:val="0"/>
          <w:i w:val="0"/>
          <w:color w:val="000000"/>
          <w:sz w:val="19"/>
        </w:rPr>
        <w:t xml:space="preserve">  website?: string;            // 登录网址 (可选)</w:t>
      </w:r>
    </w:p>
    <w:p>
      <w:pPr>
        <w:spacing w:before="0" w:after="20" w:line="300" w:lineRule="exact"/>
        <w:ind w:left="720"/>
      </w:pPr>
      <w:r>
        <w:rPr>
          <w:rFonts w:ascii="Consolas" w:hAnsi="Consolas" w:eastAsia="仿宋" w:cs="Consolas"/>
          <w:b w:val="0"/>
          <w:i w:val="0"/>
          <w:color w:val="000000"/>
          <w:sz w:val="19"/>
        </w:rPr>
        <w:t xml:space="preserve">  encryptedPayload: string;    // Base64: { username, password, notes } 的 AES-GCM 密文</w:t>
      </w:r>
    </w:p>
    <w:p>
      <w:pPr>
        <w:spacing w:before="0" w:after="20" w:line="300" w:lineRule="exact"/>
        <w:ind w:left="720"/>
      </w:pPr>
      <w:r>
        <w:rPr>
          <w:rFonts w:ascii="Consolas" w:hAnsi="Consolas" w:eastAsia="仿宋" w:cs="Consolas"/>
          <w:b w:val="0"/>
          <w:i w:val="0"/>
          <w:color w:val="000000"/>
          <w:sz w:val="19"/>
        </w:rPr>
        <w:t xml:space="preserve">  iv: string;                  // 该条目独立的 12 字节随机 IV</w:t>
      </w:r>
    </w:p>
    <w:p>
      <w:pPr>
        <w:spacing w:before="0" w:after="20" w:line="300" w:lineRule="exact"/>
        <w:ind w:left="720"/>
      </w:pPr>
      <w:r>
        <w:rPr>
          <w:rFonts w:ascii="Consolas" w:hAnsi="Consolas" w:eastAsia="仿宋" w:cs="Consolas"/>
          <w:b w:val="0"/>
          <w:i w:val="0"/>
          <w:color w:val="000000"/>
          <w:sz w:val="19"/>
        </w:rPr>
        <w:t xml:space="preserve">  createdAt: string;</w:t>
      </w:r>
    </w:p>
    <w:p>
      <w:pPr>
        <w:spacing w:before="0" w:after="20" w:line="300" w:lineRule="exact"/>
        <w:ind w:left="720"/>
      </w:pPr>
      <w:r>
        <w:rPr>
          <w:rFonts w:ascii="Consolas" w:hAnsi="Consolas" w:eastAsia="仿宋" w:cs="Consolas"/>
          <w:b w:val="0"/>
          <w:i w:val="0"/>
          <w:color w:val="000000"/>
          <w:sz w:val="19"/>
        </w:rPr>
        <w:t xml:space="preserve">  updatedAt: string;</w:t>
      </w:r>
    </w:p>
    <w:p>
      <w:pPr>
        <w:spacing w:before="0" w:after="20" w:line="300" w:lineRule="exact"/>
        <w:ind w:left="720"/>
      </w:pPr>
      <w:r>
        <w:rPr>
          <w:rFonts w:ascii="Consolas" w:hAnsi="Consolas" w:eastAsia="仿宋" w:cs="Consolas"/>
          <w:b w:val="0"/>
          <w:i w:val="0"/>
          <w:color w:val="000000"/>
          <w:sz w:val="19"/>
        </w:rPr>
        <w:t>}</w:t>
      </w:r>
    </w:p>
    <w:p>
      <w:pPr>
        <w:spacing w:before="0" w:after="20" w:line="300" w:lineRule="exact"/>
        <w:ind w:left="720"/>
      </w:pPr>
      <w:r>
        <w:rPr>
          <w:rFonts w:ascii="Consolas" w:hAnsi="Consolas" w:eastAsia="仿宋" w:cs="Consolas"/>
          <w:b w:val="0"/>
          <w:i w:val="0"/>
          <w:color w:val="000000"/>
          <w:sz w:val="19"/>
        </w:rPr>
      </w:r>
    </w:p>
    <w:p>
      <w:pPr>
        <w:spacing w:before="0" w:after="20" w:line="300" w:lineRule="exact"/>
        <w:ind w:left="720"/>
      </w:pPr>
      <w:r>
        <w:rPr>
          <w:rFonts w:ascii="Consolas" w:hAnsi="Consolas" w:eastAsia="仿宋" w:cs="Consolas"/>
          <w:b w:val="0"/>
          <w:i w:val="0"/>
          <w:color w:val="000000"/>
          <w:sz w:val="19"/>
        </w:rPr>
        <w:t>// 3. 内存明文敏感载荷 (绝不落盘)</w:t>
      </w:r>
    </w:p>
    <w:p>
      <w:pPr>
        <w:spacing w:before="0" w:after="20" w:line="300" w:lineRule="exact"/>
        <w:ind w:left="720"/>
      </w:pPr>
      <w:r>
        <w:rPr>
          <w:rFonts w:ascii="Consolas" w:hAnsi="Consolas" w:eastAsia="仿宋" w:cs="Consolas"/>
          <w:b w:val="0"/>
          <w:i w:val="0"/>
          <w:color w:val="000000"/>
          <w:sz w:val="19"/>
        </w:rPr>
        <w:t>export interface EncryptedPayload {</w:t>
      </w:r>
    </w:p>
    <w:p>
      <w:pPr>
        <w:spacing w:before="0" w:after="20" w:line="300" w:lineRule="exact"/>
        <w:ind w:left="720"/>
      </w:pPr>
      <w:r>
        <w:rPr>
          <w:rFonts w:ascii="Consolas" w:hAnsi="Consolas" w:eastAsia="仿宋" w:cs="Consolas"/>
          <w:b w:val="0"/>
          <w:i w:val="0"/>
          <w:color w:val="000000"/>
          <w:sz w:val="19"/>
        </w:rPr>
        <w:t xml:space="preserve">  username: string;            // 账号/用户名/邮箱</w:t>
      </w:r>
    </w:p>
    <w:p>
      <w:pPr>
        <w:spacing w:before="0" w:after="20" w:line="300" w:lineRule="exact"/>
        <w:ind w:left="720"/>
      </w:pPr>
      <w:r>
        <w:rPr>
          <w:rFonts w:ascii="Consolas" w:hAnsi="Consolas" w:eastAsia="仿宋" w:cs="Consolas"/>
          <w:b w:val="0"/>
          <w:i w:val="0"/>
          <w:color w:val="000000"/>
          <w:sz w:val="19"/>
        </w:rPr>
        <w:t xml:space="preserve">  password: string;            // 真实密码凭据</w:t>
      </w:r>
    </w:p>
    <w:p>
      <w:pPr>
        <w:spacing w:before="0" w:after="20" w:line="300" w:lineRule="exact"/>
        <w:ind w:left="720"/>
      </w:pPr>
      <w:r>
        <w:rPr>
          <w:rFonts w:ascii="Consolas" w:hAnsi="Consolas" w:eastAsia="仿宋" w:cs="Consolas"/>
          <w:b w:val="0"/>
          <w:i w:val="0"/>
          <w:color w:val="000000"/>
          <w:sz w:val="19"/>
        </w:rPr>
        <w:t xml:space="preserve">  notes?: string;              // 私密备注/PIN码</w:t>
      </w:r>
    </w:p>
    <w:p>
      <w:pPr>
        <w:spacing w:before="0" w:after="20" w:line="300" w:lineRule="exact"/>
        <w:ind w:left="720"/>
      </w:pPr>
      <w:r>
        <w:rPr>
          <w:rFonts w:ascii="Consolas" w:hAnsi="Consolas" w:eastAsia="仿宋" w:cs="Consolas"/>
          <w:b w:val="0"/>
          <w:i w:val="0"/>
          <w:color w:val="000000"/>
          <w:sz w:val="19"/>
        </w:rPr>
        <w:t>}</w:t>
      </w:r>
    </w:p>
    <w:p>
      <w:pPr>
        <w:spacing w:before="0" w:after="20" w:line="300" w:lineRule="exact"/>
        <w:ind w:left="720"/>
      </w:pPr>
      <w:r>
        <w:rPr>
          <w:rFonts w:ascii="Consolas" w:hAnsi="Consolas" w:eastAsia="仿宋" w:cs="Consolas"/>
          <w:b w:val="0"/>
          <w:i w:val="0"/>
          <w:color w:val="000000"/>
          <w:sz w:val="19"/>
        </w:rPr>
      </w:r>
    </w:p>
    <w:p>
      <w:pPr>
        <w:spacing w:before="0" w:after="20" w:line="300" w:lineRule="exact"/>
        <w:ind w:left="720"/>
      </w:pPr>
      <w:r>
        <w:rPr>
          <w:rFonts w:ascii="Consolas" w:hAnsi="Consolas" w:eastAsia="仿宋" w:cs="Consolas"/>
          <w:b w:val="0"/>
          <w:i w:val="0"/>
          <w:color w:val="000000"/>
          <w:sz w:val="19"/>
        </w:rPr>
        <w:t>// 4. 离线加密备份文件实体</w:t>
      </w:r>
    </w:p>
    <w:p>
      <w:pPr>
        <w:spacing w:before="0" w:after="20" w:line="300" w:lineRule="exact"/>
        <w:ind w:left="720"/>
      </w:pPr>
      <w:r>
        <w:rPr>
          <w:rFonts w:ascii="Consolas" w:hAnsi="Consolas" w:eastAsia="仿宋" w:cs="Consolas"/>
          <w:b w:val="0"/>
          <w:i w:val="0"/>
          <w:color w:val="000000"/>
          <w:sz w:val="19"/>
        </w:rPr>
        <w:t>export interface VaultBackupFile {</w:t>
      </w:r>
    </w:p>
    <w:p>
      <w:pPr>
        <w:spacing w:before="0" w:after="20" w:line="300" w:lineRule="exact"/>
        <w:ind w:left="720"/>
      </w:pPr>
      <w:r>
        <w:rPr>
          <w:rFonts w:ascii="Consolas" w:hAnsi="Consolas" w:eastAsia="仿宋" w:cs="Consolas"/>
          <w:b w:val="0"/>
          <w:i w:val="0"/>
          <w:color w:val="000000"/>
          <w:sz w:val="19"/>
        </w:rPr>
        <w:t xml:space="preserve">  app: 'SafeVault';</w:t>
      </w:r>
    </w:p>
    <w:p>
      <w:pPr>
        <w:spacing w:before="0" w:after="20" w:line="300" w:lineRule="exact"/>
        <w:ind w:left="720"/>
      </w:pPr>
      <w:r>
        <w:rPr>
          <w:rFonts w:ascii="Consolas" w:hAnsi="Consolas" w:eastAsia="仿宋" w:cs="Consolas"/>
          <w:b w:val="0"/>
          <w:i w:val="0"/>
          <w:color w:val="000000"/>
          <w:sz w:val="19"/>
        </w:rPr>
        <w:t xml:space="preserve">  exportVersion: '1.0';</w:t>
      </w:r>
    </w:p>
    <w:p>
      <w:pPr>
        <w:spacing w:before="0" w:after="20" w:line="300" w:lineRule="exact"/>
        <w:ind w:left="720"/>
      </w:pPr>
      <w:r>
        <w:rPr>
          <w:rFonts w:ascii="Consolas" w:hAnsi="Consolas" w:eastAsia="仿宋" w:cs="Consolas"/>
          <w:b w:val="0"/>
          <w:i w:val="0"/>
          <w:color w:val="000000"/>
          <w:sz w:val="19"/>
        </w:rPr>
        <w:t xml:space="preserve">  exportedAt: string;</w:t>
      </w:r>
    </w:p>
    <w:p>
      <w:pPr>
        <w:spacing w:before="0" w:after="20" w:line="300" w:lineRule="exact"/>
        <w:ind w:left="720"/>
      </w:pPr>
      <w:r>
        <w:rPr>
          <w:rFonts w:ascii="Consolas" w:hAnsi="Consolas" w:eastAsia="仿宋" w:cs="Consolas"/>
          <w:b w:val="0"/>
          <w:i w:val="0"/>
          <w:color w:val="000000"/>
          <w:sz w:val="19"/>
        </w:rPr>
        <w:t xml:space="preserve">  meta: VaultMeta;</w:t>
      </w:r>
    </w:p>
    <w:p>
      <w:pPr>
        <w:spacing w:before="0" w:after="20" w:line="300" w:lineRule="exact"/>
        <w:ind w:left="720"/>
      </w:pPr>
      <w:r>
        <w:rPr>
          <w:rFonts w:ascii="Consolas" w:hAnsi="Consolas" w:eastAsia="仿宋" w:cs="Consolas"/>
          <w:b w:val="0"/>
          <w:i w:val="0"/>
          <w:color w:val="000000"/>
          <w:sz w:val="19"/>
        </w:rPr>
        <w:t xml:space="preserve">  items: EncryptedVaultItem[];</w:t>
      </w:r>
    </w:p>
    <w:p>
      <w:pPr>
        <w:spacing w:before="0" w:after="20" w:line="300" w:lineRule="exact"/>
        <w:ind w:left="720"/>
      </w:pPr>
      <w:r>
        <w:rPr>
          <w:rFonts w:ascii="Consolas" w:hAnsi="Consolas" w:eastAsia="仿宋" w:cs="Consolas"/>
          <w:b w:val="0"/>
          <w:i w:val="0"/>
          <w:color w:val="000000"/>
          <w:sz w:val="19"/>
        </w:rPr>
        <w:t>}</w:t>
      </w:r>
    </w:p>
    <w:p>
      <w:pPr>
        <w:spacing w:before="360" w:after="160" w:line="480" w:lineRule="exact"/>
      </w:pPr>
      <w:r>
        <w:rPr>
          <w:rFonts w:ascii="Times New Roman" w:hAnsi="Times New Roman" w:eastAsia="黑体" w:cs="Times New Roman"/>
          <w:b/>
          <w:i w:val="0"/>
          <w:color w:val="000000"/>
          <w:sz w:val="28"/>
        </w:rPr>
        <w:t>6 关键算法与业务防线详细设计</w:t>
      </w:r>
    </w:p>
    <w:p>
      <w:pPr>
        <w:spacing w:before="0" w:after="80" w:line="400" w:lineRule="exact"/>
        <w:ind w:firstLine="480"/>
      </w:pPr>
      <w:r>
        <w:rPr>
          <w:rFonts w:ascii="Times New Roman" w:hAnsi="Times New Roman" w:eastAsia="宋体" w:cs="Times New Roman"/>
          <w:b w:val="0"/>
          <w:i w:val="0"/>
          <w:color w:val="000000"/>
          <w:sz w:val="24"/>
        </w:rPr>
        <w:t>6.1 剪贴板 30 秒安全销毁机制：调用浏览器原生 navigator.clipboard.writeText(password) 将明文拷贝入剪贴板。同时启动 window.setTimeout 定时器，在 30 秒后自动向剪贴板写入空字符串覆盖。若用户在 30 秒内进行二次复制，系统先清空前序定时器并重新计时，彻底防御后台流氓软件驻留嗅探。</w:t>
      </w:r>
    </w:p>
    <w:p>
      <w:pPr>
        <w:spacing w:before="0" w:after="80" w:line="400" w:lineRule="exact"/>
        <w:ind w:firstLine="480"/>
      </w:pPr>
      <w:r>
        <w:rPr>
          <w:rFonts w:ascii="Times New Roman" w:hAnsi="Times New Roman" w:eastAsia="宋体" w:cs="Times New Roman"/>
          <w:b w:val="0"/>
          <w:i w:val="0"/>
          <w:color w:val="000000"/>
          <w:sz w:val="24"/>
        </w:rPr>
        <w:t>6.2 超时无操作心跳锁屏机制：应用挂载全视口活跃侦听器（mousedown, keydown, touchstart, scroll），实时刷新最后活跃时间戳。内部设立 10 秒精度的守护轮询进程，当静默时差超过 180,000ms（3分钟）时，主动调用 handleLockNow() 擦除内存密钥并将解密状态置空，页面弹出战术认证锁屏弹窗。</w:t>
      </w:r>
    </w:p>
    <w:p>
      <w:pPr>
        <w:spacing w:before="0" w:after="80" w:line="400" w:lineRule="exact"/>
        <w:ind w:firstLine="480"/>
      </w:pPr>
      <w:r>
        <w:rPr>
          <w:rFonts w:ascii="Times New Roman" w:hAnsi="Times New Roman" w:eastAsia="宋体" w:cs="Times New Roman"/>
          <w:b w:val="0"/>
          <w:i w:val="0"/>
          <w:color w:val="000000"/>
          <w:sz w:val="24"/>
        </w:rPr>
        <w:t>6.3 CSPRNG 强随机密码发生算法：通过 window.crypto.getRandomValues() 获取真伪随机字节，并在所勾选的字符集池中执行 Fisher-Yates 均匀洗牌，强制保证大写、小写、数字、符号的至少单字符命中，杜绝常见弱伪随机数生成器的模式偏置。</w:t>
      </w:r>
    </w:p>
    <w:p>
      <w:pPr>
        <w:spacing w:before="360" w:after="160" w:line="480" w:lineRule="exact"/>
      </w:pPr>
      <w:r>
        <w:rPr>
          <w:rFonts w:ascii="Times New Roman" w:hAnsi="Times New Roman" w:eastAsia="黑体" w:cs="Times New Roman"/>
          <w:b/>
          <w:i w:val="0"/>
          <w:color w:val="000000"/>
          <w:sz w:val="28"/>
        </w:rPr>
        <w:t>7 专属 SKILL 矩阵源码级配置规范</w:t>
      </w:r>
    </w:p>
    <w:p>
      <w:pPr>
        <w:spacing w:before="0" w:after="80" w:line="400" w:lineRule="exact"/>
        <w:ind w:firstLine="480"/>
      </w:pPr>
      <w:r>
        <w:rPr>
          <w:rFonts w:ascii="Times New Roman" w:hAnsi="Times New Roman" w:eastAsia="宋体" w:cs="Times New Roman"/>
          <w:b w:val="0"/>
          <w:i w:val="0"/>
          <w:color w:val="000000"/>
          <w:sz w:val="24"/>
        </w:rPr>
        <w:t>根据规范指南第 6 章‘专属 SKILL 矩阵配置’，项目根目录设立了三道自动化防线：.skills/code-guardian 确保代码完整性、强类型与防御性异常捕获；.skills/design-system 锁定战术色彩代币与移动端 360px 视口优先；.skills/security-guardian强制原生 Web Crypto API、PBKDF2 100k 轮与零明文落盘。</w:t>
      </w:r>
    </w:p>
    <w:p>
      <w:pPr>
        <w:spacing w:before="360" w:after="160" w:line="480" w:lineRule="exact"/>
      </w:pPr>
      <w:r>
        <w:rPr>
          <w:rFonts w:ascii="Times New Roman" w:hAnsi="Times New Roman" w:eastAsia="黑体" w:cs="Times New Roman"/>
          <w:b/>
          <w:i w:val="0"/>
          <w:color w:val="000000"/>
          <w:sz w:val="28"/>
        </w:rPr>
        <w:t>8 家用 NAS 私有化部署与跨端 PWA 实战</w:t>
      </w:r>
    </w:p>
    <w:p>
      <w:pPr>
        <w:spacing w:before="0" w:after="80" w:line="400" w:lineRule="exact"/>
        <w:ind w:firstLine="480"/>
      </w:pPr>
      <w:r>
        <w:rPr>
          <w:rFonts w:ascii="Times New Roman" w:hAnsi="Times New Roman" w:eastAsia="宋体" w:cs="Times New Roman"/>
          <w:b w:val="0"/>
          <w:i w:val="0"/>
          <w:color w:val="000000"/>
          <w:sz w:val="24"/>
        </w:rPr>
        <w:t>8.1 容器化极简架构：系统编写了多阶段构建 Dockerfile。第一阶段基于 Node.js 镜像执行静态打包编译；第二阶段将 dist/ 产物拷贝至精简 Alpine Nginx 镜像。构建后容器镜像总体积小于 25MB，运行时内存仅占用约 12MB，支持群晖 DSM 7.2+（Container Manager）、威联通、绿联云（UGOS）、极空间等一键部署。</w:t>
      </w:r>
    </w:p>
    <w:p>
      <w:pPr>
        <w:spacing w:before="0" w:after="80" w:line="400" w:lineRule="exact"/>
        <w:ind w:firstLine="480"/>
      </w:pPr>
      <w:r>
        <w:rPr>
          <w:rFonts w:ascii="Times New Roman" w:hAnsi="Times New Roman" w:eastAsia="宋体" w:cs="Times New Roman"/>
          <w:b w:val="0"/>
          <w:i w:val="0"/>
          <w:color w:val="000000"/>
          <w:sz w:val="24"/>
        </w:rPr>
        <w:t>8.2 跨端 PWA 原生体验：系统配置了 public/manifest.json。用户在手机端通过 Safari 或 Chrome 访问NAS 局域网 IP 后，点击‘添加到主屏幕’，即可生成独立全屏图标。启动后无任何浏览器 URL 地址栏与控制按钮，操作手感与微信原生小程序高度一致，且具备断网完全可用能力。</w:t>
      </w:r>
    </w:p>
    <w:p>
      <w:pPr>
        <w:spacing w:before="360" w:after="160" w:line="480" w:lineRule="exact"/>
      </w:pPr>
      <w:r>
        <w:rPr>
          <w:rFonts w:ascii="Times New Roman" w:hAnsi="Times New Roman" w:eastAsia="黑体" w:cs="Times New Roman"/>
          <w:b/>
          <w:i w:val="0"/>
          <w:color w:val="000000"/>
          <w:sz w:val="28"/>
        </w:rPr>
        <w:t>9 质量保证与测试验收结论</w:t>
      </w:r>
    </w:p>
    <w:p>
      <w:pPr>
        <w:spacing w:before="0" w:after="80" w:line="400" w:lineRule="exact"/>
        <w:ind w:firstLine="480"/>
      </w:pPr>
      <w:r>
        <w:rPr>
          <w:rFonts w:ascii="Times New Roman" w:hAnsi="Times New Roman" w:eastAsia="宋体" w:cs="Times New Roman"/>
          <w:b w:val="0"/>
          <w:i w:val="0"/>
          <w:color w:val="000000"/>
          <w:sz w:val="24"/>
        </w:rPr>
        <w:t>9.1 自动化密码学单元测试：项目编写了自动化测试套件 test-crypto.js。执行 node test-crypto.js完成四大核心链路自测：PBKDF2 100,000 轮密钥派生、正确主密码解密验证 Token、错误主密码 AEAD 标签阻断防御、敏感条目加解密一致性以及翻转密文字节模拟篡改攻击的拦截防御，测试通过率达到 100%。</w:t>
      </w:r>
    </w:p>
    <w:p>
      <w:pPr>
        <w:spacing w:before="0" w:after="80" w:line="400" w:lineRule="exact"/>
        <w:ind w:firstLine="480"/>
      </w:pPr>
      <w:r>
        <w:rPr>
          <w:rFonts w:ascii="Times New Roman" w:hAnsi="Times New Roman" w:eastAsia="宋体" w:cs="Times New Roman"/>
          <w:b w:val="0"/>
          <w:i w:val="0"/>
          <w:color w:val="000000"/>
          <w:sz w:val="24"/>
        </w:rPr>
        <w:t>9.2 生产构建验收：运行 npm run build 耗时 2.92 秒完成生产级压缩，零报错、零告警，构建产物规范完整。全生命周期规范的落地，确保了 SafeVault 成为兼具金融级底层安全性与顶尖现代视觉美学的高质量密码工程标杆。</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color w:val="787878"/>
        <w:sz w:val="18"/>
      </w:rPr>
      <w:t>- 1 -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b w:val="0"/>
        <w:i w:val="0"/>
        <w:color w:val="787878"/>
        <w:sz w:val="18"/>
      </w:rPr>
      <w:t>SafeVault 个人私密密码保险箱系统全流程详细设计说明书 (SDD)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