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BA39FF">
      <w:pPr>
        <w:rPr>
          <w:rFonts w:hint="eastAsia"/>
        </w:rPr>
      </w:pPr>
      <w:r>
        <w:rPr>
          <w:rFonts w:hint="eastAsia"/>
        </w:rPr>
        <w:t>[{"bbox": [43.0, 83.0, 741.0, 117.0], "text": "OBD设备JT/T 809协议虚拟技术手册", "type": "title", "order": 0, "page_idx": 0, "text_level": 1}, {"bbox": [43.0, 145.0, 193.0, 168.0], "text": "1. 手册总则", "type": "title", "order": 1, "page_idx": 0, "text_level": 2}, {"bbox": [43.0, 190.0, 194.0, 211.0], "text": "1.1 手册目的", "type": "title", "order": 2, "page_idx": 0, "text_level": 2}, {"bbox": [42.0, 223.0, 949.0, 313.0], "text": "本手册基于交通运输行业标准JT/T809-2019《交通运输视频监控系统技术要求》,结合车载OBD诊断终端设备应用场景,完整定义OBD终端与上级运管平台、下级企业监控平台之间的通信协议规范。旨在为OBD设备开发、调试、对接、运维人员提供标准化技术依据,统一数据交互格式、通信逻辑、异常处理机制,保障车辆诊断数据、定位数据、工况数据、故障数据的跨平台合规传输与解析。", "type": "paragraph", "order": 3, "page_idx": 0}, {"bbox": [43.0, 332.0, 193.0, 355.0], "text": "1.2 适用范围", "type": "title", "order": 4, "page_idx": 0, "text_level": 2}, {"bbox": [42.0, 366.0, 952.0, 455.0], "text": "本手册适用于所有适配JT/T809协议的车载OBD诊断终端、车载定位监控终端、车辆运维管理设备。覆盖设备与政府运管上级平台、企业下级监控平台的TCP数据交互全流程,包含链路建立、数据上报、指令下发、异常重连、心跳保活、故障应答等所有业务场景,不适用于808终端直连平台通信场景及非标准化私有OBD协议设备。", "type": "paragraph", "order": 5, "page_idx": 0}, {"bbox": [43.0, 475.0, 245.0, 498.0], "text": "1.3 协议基础定义", "type": "title", "order": 6, "page_idx": 0, "text_level": 2}, {"bbox": [40.0, 508.0, 951.0, 599.0], "text": "JT/T809协议是交通运输行业专用的上下级平台数据交互协议,区别于终端直连平台的808协议:企业OBD监控平台为下级平台,政府运管监管平台为上级平台,OBD终端采集的车辆数据经下级平台封装后,通过809协议上传至上级平台,实现行业统一监管。协议全程基于TCP长连接通信,不支持UDP传输,具备高可靠、高合规、可溯源的监管级通信特性。", "type": "paragraph", "order": 7, "page_idx": 0}, {"bbox": [43.0, 618.0, 268.0, 639.0], "text": "1.4 规范性引用文件", "type": "title", "order": 8, "page_idx": 0, "text_level": 2}, {"bbox": [45.0, 651.0, 500.0, 670.0], "text": "• JT/T809-2019交通运输视频监控系统技术要求", "type": "list_item", "order": 9, "page_idx": 0}, {"bbox": [47.0, 682.0, 579.0, 700.0], "text": "• JT/T 808-2019 道路运输车辆卫星定位系统终端通信协议", "type": "list_item", "order": 10, "page_idx": 0}, {"bbox": [47.0, 712.0, 584.0, 731.0], "text": "• ISO15031 车载诊断系统(OBD)排放相关诊断通信标准", "type": "list_item", "order": 11, "page_idx": 0}, {"bbox": [47.0, 741.0, 606.0, 760.0], "text": "• HJ500-2009轻型汽车车载诊断(OBD)系统管理技术规范", "type": "list_item", "order": 12, "page_idx": 0}, {"bbox": [43.0, 784.0, 247.0, 808.0], "text": "2. 通信总体规范", "type": "title", "order": 13, "page_idx": 0, "text_level": 2}, {"bbox": [43.0, 829.0, 194.0, 851.0], "text": "2.1 通信架构", "type": "title", "order": 14, "page_idx": 0, "text_level": 2}, {"bbox": [42.0, 863.0, 460.0, 881.0], "text": "采用三级分层通信架构,全程TCP长连接模式:", "type": "paragraph", "order": 15, "page_idx": 0}, {"bbox": [42.0, 892.0, 890.0, 942.0], "text": "车载OBD终端→企业下级监控平台(808协议上传)→政府上级运管平台(809协议转发交互)核心角色定义:", "type": "paragraph", "order": 16, "page_idx": 0}, {"bbox": [47.0, 34.0, 684.0, 53.0], "text": "• 上级平台:政府交通运输监管平台,TCP服务端,固定端口监听连接", "type": "list_item", "order": 17, "page_idx": 1}, {"bbox": [47.0, 65.0, 786.0, 83.0], "text": "• 下级平台:企业车辆OBD监控管理平台,TCP客户端,主动向上级平台发起连接", "type": "list_item", "order": 18, "page_idx": 1}, {"bbox": [47.0, 95.0, 949.0, 114.0], "text": "• OBD终端:车载采集设备,负责采集车辆故障码、工况、油耗、转速、定位等数据,对接下级平台", "type": "list_item", "order": 19, "page_idx": 1}, {"bbox": [43.0, 135.0, 243.0, 156.0], "text": "2.2 通信参数标准", "type": "title", "order": 20, "page_idx": 1, "text_level": 2}, {"bbox": [45.0, 184.0, 805.0, 513.0], "html": "&lt;table data-logical-id=\"tbl-000\"&gt;&lt;tr&gt;&lt;td rowspan=1 colspan=1&gt;参数项&lt;/td&gt;&lt;td rowspan=1 colspan=1&gt;标准配置值&lt;/td&gt;&lt;td rowspan=1 colspan=1&gt;备注说明&lt;/td&gt;&lt;/tr&gt;&lt;tr&gt;&lt;td rowspan=1 colspan=1&gt;传输协议&lt;/td&gt;&lt;td rowspan=1 colspan=1&gt;TCP&lt;/td&gt;&lt;td rowspan=1 colspan=1&gt;唯一支持协议，无UDP兼容&lt;/td&gt;&lt;/tr&gt;&lt;tr&gt;&lt;td rowspan=1 colspan=1&gt;默认通信端口&lt;/td&gt;&lt;td rowspan=1 colspan=1&gt;11009&lt;/td&gt;&lt;td rowspan=1 colspan=1&gt;可根据平台配置自定义修改&lt;/td&gt;&lt;/tr&gt;&lt;tr&gt;&lt;td rowspan=1 colspan=1&gt;链路模式&lt;/td&gt;&lt;td rowspan=1 colspan=1&gt;主链路+备链路&lt;/td&gt;&lt;td rowspan=1 colspan=1&gt;主链路传输业务数据，备链路故障冗余&lt;/td&gt;&lt;/tr&gt;&lt;tr&gt;&lt;td rowspan=1 colspan=1&gt;心跳周期&lt;/td&gt;&lt;td rowspan=1 colspan=1&gt;30s&lt;/td&gt;&lt;td rowspan=1 colspan=1&gt;超时60s未接收心跳判定链路断开&lt;/td&gt;&lt;/tr&gt;&lt;tr&gt;&lt;td rowspan=1 colspan=1&gt;重连间隔&lt;/td&gt;&lt;td rowspan=1 colspan=1&gt;10s&lt;/td&gt;&lt;td rowspan=1 colspan=1&gt;链路断开后自动重试连接&lt;/td&gt;&lt;/tr&gt;&lt;tr&gt;&lt;td rowspan=1 colspan=1&gt;数据编码&lt;/td&gt;&lt;td rowspan=1 colspan=1&gt;GB2312&lt;/td&gt;&lt;td rowspan=1 colspan=1&gt;中文、车辆信息统一编码格式&lt;/td&gt;&lt;/tr&gt;&lt;tr&gt;&lt;td rowspan=1 colspan=1&gt;字节序&lt;</w:t>
      </w:r>
      <w:r>
        <w:rPr>
          <w:rFonts w:hint="eastAsia"/>
        </w:rPr>
        <w:t>/td&gt;&lt;td rowspan=1 colspan=1&gt;大端模式&lt;/td&gt;&lt;td rowspan=1 colspan=1&gt;所有数值类数据统一大端传输&lt;/td&gt;&lt;/tr&gt;&lt;/table&gt;", "type": "table", "order": 21, "page_idx": 1, "logical_table_id": "tbl-000"}, {"bbox": [43.0, 537.0, 295.0, 558.0], "text": "2.3 链路生命周期机制", "type": "title", "order": 22, "page_idx": 1, "text_level": 2}, {"bbox": [45.0, 570.0, 934.0, 612.0], "text": "1. 链路建立:下级平台主动向上级平台指定IP+端口发起TCP连接,连接成功后立即发送登录认证报文,认证通过后链路正式生效。", "type": "list_item", "order": 23, "page_idx": 1}, {"bbox": [45.0, 624.0, 949.0, 665.0], "text": "2. 链路保活:链路正常状态下,下级平台每30秒向上级平台发送心跳报文,上级平台收到后返回应答报文,维持长连接。", "type": "list_item", "order": 24, "page_idx": 1}, {"bbox": [45.0, 677.0, 895.0, 696.0], "text": "3. 链路断开:心跳超时、网络异常、认证失效时,链路自动断开,下级平台启动自动重连机制。", "type": "list_item", "order": 25, "page_idx": 1}, {"bbox": [45.0, 707.0, 736.0, 727.0], "text": "4. 链路注销:平台主动下线、设备停用场景,发送注销报文,正常断开链路。", "type": "list_item", "order": 26, "page_idx": 1}, {"bbox": [43.0, 750.0, 247.0, 772.0], "text": "3. 通用报文结构", "type": "title", "order": 27, "page_idx": 1, "text_level": 2}, {"bbox": [42.0, 784.0, 915.0, 827.0], "text": "JT/T809协议所有交互报文均采用统一帧结构,由帧头、报文头、报文体、校验码、帧尾五部分组成,固定格式、固定字段顺序,无可变字段偏移。", "type": "paragraph", "order": 28, "page_idx": 1}, {"bbox": [43.0, 847.0, 268.0, 869.0], "text": "3.1 完整报文帧格式", "type": "title", "order": 29, "page_idx": 1, "text_level": 2}, {"bbox": [47.0, 896.0, 805.0, 934.0], "html": "&lt;table data-logical-id=\"tbl-001\"&gt;&lt;tr&gt;&lt;td&gt;字段名称&lt;/td&gt;&lt;td&gt;字节长度&lt;/td&gt;&lt;td&gt;字段说明&lt;/td&gt;&lt;/tr&gt;&lt;tr&gt;&lt;td colspan=\"1\" rowspan=\"1\"&gt;帧起始符&lt;/td&gt;&lt;td colspan=\"1\" rowspan=\"1\"&gt;2&lt;/td&gt;&lt;td colspan=\"1\" rowspan=\"1\"&gt;固定0x5B5B（[)，标识报文开始&lt;/td&gt;&lt;/tr&gt;&lt;tr&gt;&lt;td colspan=\"1\" rowspan=\"1\"&gt;报文总长度&lt;/td&gt;&lt;td colspan=\"1\" rowspan=\"1\"&gt;4&lt;/td&gt;&lt;td colspan=\"1\" rowspan=\"1\"&gt;包含报文头、报文体、校验码、帧尾，大端存储&lt;/td&gt;&lt;/tr&gt;&lt;tr&gt;&lt;td colspan=\"1\" rowspan=\"1\"&gt;报文头&lt;/td&gt;&lt;td colspan=\"1\" rowspan=\"1\"&gt;16&lt;/td&gt;&lt;td colspan=\"1\" rowspan=\"1\"&gt;包含平台ID、报文ID、时间、链路类型等核心信息&lt;/td&gt;&lt;/tr&gt;&lt;tr&gt;&lt;td colspan=\"1\" rowspan=\"1\"&gt;报文体&lt;/td&gt;&lt;td colspan=\"1\" rowspan=\"1\"&gt;可变&lt;/td&gt;&lt;td colspan=\"1\" rowspan=\"1\"&gt;业务数据主体，随报文类型变化&lt;/td&gt;&lt;/tr&gt;&lt;tr&gt;&lt;td colspan=\"1\" rowspan=\"1\"&gt;CRC校验码&lt;/td&gt;&lt;td colspan=\"1\" rowspan=\"1\"&gt;2&lt;/td&gt;&lt;td colspan=\"1\" rowspan=\"1\"&gt;对报文头+报文体进行CRC16校验&lt;/td&gt;&lt;/tr&gt;&lt;tr&gt;&lt;td colspan=\"1\" rowspan=\"1\"&gt;帧结束符&lt;/td&gt;&lt;td colspan=\"1\" rowspan=\"1\"&gt;2&lt;/td&gt;&lt;td colspan=\"1\" rowspan=\"1\"&gt;固定0x5D5D(]]），标识报文结束&lt;/td&gt;&lt;/tr&gt;&lt;/table&gt;", "type": "table", "order": 30, "page_idx": 1, "logical_table_id": "tbl-001"}, {"bbox": [42.0, 393.0, 383.0, 414.0], "text": "3.2 报文头详细定义(16字节)", "type": "title", "order": 31, "page_idx": 2, "text_level": 2}, {"bbox": [45.0, 441.0, 936.0, 734.0], "html": "&lt;table data-logical-id=\"tbl-002\"&gt;&lt;tr&gt;&lt;td rowspan=1 colspan=1&gt;偏移字节&lt;/td&gt;&lt;td rowspan=1 colspan=1&gt;长度&lt;/td&gt;&lt;td rowspan=1 colspan=1&gt;字段名称&lt;/td&gt;&lt;td rowspan=1 colspan=1&gt;说明&lt;/td&gt;&lt;/tr&gt;&lt;tr&gt;&lt;td rowspan=1 colspan=1&gt;0-3&lt;/td&gt;&lt;td rowspan=1 colspan=1&gt;4&lt;/td&gt;&lt;td rowspan=1 colspan=1&gt;下级平台ID&lt;/td&gt;&lt;td rowspan=1 colspan=1&gt;企业平台唯一监管编号&lt;/td&gt;&lt;/tr&gt;&lt;tr&gt;&lt;td rowspan=1 colspan=1&gt;4-5&lt;/td&gt;&lt;td rowspan=1 colspan=1&gt;2&lt;/td&gt;&lt;td rowspan=1 colspan=1&gt;报文ID&lt;/td&gt;&lt;td rowspan=1 colspan=1&gt;区分不同业务指令，核心标识&lt;/td&gt;&lt;/tr&gt;&lt;tr&gt;&lt;td rowspan=1 colspan=1&gt;6-7&lt;/td&gt;&lt;td rowspan=1 colspan=1&gt;2&lt;/td&gt;&lt;td rowspan=1 colspan=1&gt;报文序列号&lt;/td&gt;&lt;td rowspan=1 colspan=1&gt;单链路自增，用于报文排序、去重&lt;/td&gt;&lt;/tr&gt;&lt;tr&gt;&lt;td rowspan=1 colspan=1&gt;8-11&lt;/td&gt;&lt;td rowspan=1 colspan=1&gt;4&lt;/td&gt;&lt;td rowspan=1 colspan=1&gt;报文时间戳&lt;/td&gt;&lt;td rowspan=1 colspan=1&gt;Unix标准时间戳&lt;/td&gt;&lt;/tr&gt;&lt;tr&gt;&lt;td rowspan=1 colspan=1&gt;12&lt;/td&gt;&lt;td rowspan=1 colspan=1&gt;1&lt;/td&gt;&lt;td rowspan=1 colspan=1&gt;链路类型&lt;/td&gt;&lt;td rowspan=1 colspan=1&gt;0：主链路，1：备链路&lt;/td&gt;&lt;/tr&gt;&lt;tr&gt;&lt;td rowspan=1 colspan=1&gt;13-15&lt;/td&gt;&lt;td rowspan=1 colspan=1&gt;3&lt;/td&gt;&lt;td rowspan=1 colspan=1&gt;保留字段&lt;/td&gt;&lt;td rowspan=1 colspan=1&gt;默认填充0x00，预留扩展&lt;/td&gt;&lt;/tr&gt;&lt;/table&gt;", "type": "table", "order": 32, "page_idx": 2, "logical_table_id": "tbl-002"}, {"bbox": [43.0, 759.0, 194.0, 782.0], "text": "3.3 校验规则", "type": "title", "order": 33, "page_idx": 2, "text_level": 2}, {"bbox": [42.0, 793.0, 952.0, 859.0], "text": "采用CRC16-CCITT校验算法,校验范围为报文头+报文体,不包含帧起始符、总长度、帧结束符。接收方收到报文后,重新计算校验码,与报文自带校验码比对,不一致则直接丢弃报文,返回校验异常应答。", "type": "paragraph", "order": 34, "page_idx": 2}, {"bbox": [42.0, 881.0, 510</w:t>
      </w:r>
      <w:r>
        <w:rPr>
          <w:rFonts w:hint="eastAsia"/>
        </w:rPr>
        <w:t>.0, 906.0], "text": "4. 核心报文指令定义(OBD设备专用)", "type": "title", "order": 35, "page_idx": 2, "text_level": 2}, {"bbox": [42.0, 916.0, 954.0, 959.0], "text": "结合OBD设备车辆诊断、工况采集、故障上报、平台管控核心业务,梳理809协议高频专用报文,包含登录、心跳、车辆数据上报、故障上报、平台指令应答等全场景指令。", "type": "paragraph", "order": 36, "page_idx": 2}, {"bbox": [42.0, 33.0, 245.0, 54.0], "text": "4.1 链路基础报文", "type": "title", "order": 37, "page_idx": 3, "text_level": 2}, {"bbox": [42.0, 74.0, 398.0, 95.0], "text": "4.1.1 下级平台登录报文(0x1001)", "type": "title", "order": 38, "page_idx": 3, "text_level": 2}, {"bbox": [42.0, 104.0, 786.0, 123.0], "text": "用途:下级企业平台连接上级运管平台后,首次认证登录,绑定OBD设备集群身份。", "type": "paragraph", "order": 39, "page_idx": 3}, {"bbox": [42.0, 135.0, 616.0, 154.0], "text": "报文体字段:平台名称、登录密码、设备终端数量、通信版本号", "type": "paragraph", "order": 40, "page_idx": 3}, {"bbox": [43.0, 173.0, 352.0, 193.0], "text": "4.1.2 登录应答报文(0x1002)", "type": "title", "order": 41, "page_idx": 3, "text_level": 2}, {"bbox": [42.0, 204.0, 942.0, 246.0], "text": "用途:上级平台响应登录请求,返回认证结果。0:登录成功,1:密码错误,2:平台ID无效,3:版本不匹配。", "type": "paragraph", "order": 42, "page_idx": 3}, {"bbox": [42.0, 266.0, 393.0, 286.0], "text": "4.1.3 心跳报文(0x1005/0x1006)", "type": "title", "order": 43, "page_idx": 3, "text_level": 2}, {"bbox": [42.0, 297.0, 931.0, 338.0], "text": "0x1005:下级平台向上级平台发送心跳;0x1006:上级平台心跳应答。报文体为空,仅维持链路保活。", "type": "paragraph", "order": 44, "page_idx": 3}, {"bbox": [42.0, 360.0, 299.0, 381.0], "text": "4.2 OBD车辆业务报文", "type": "title", "order": 45, "page_idx": 3, "text_level": 2}, {"bbox": [42.0, 401.0, 447.0, 420.0], "text": "4.2.1 车辆OBD工况数据上报(0x6001)", "type": "title", "order": 46, "page_idx": 3, "text_level": 2}, {"bbox": [42.0, 431.0, 746.0, 450.0], "text": "用途:下级平台转发OBD终端采集的车辆实时工况数据,为核心业务上报报文。", "type": "paragraph", "order": 47, "page_idx": 3}, {"bbox": [42.0, 461.0, 937.0, 504.0], "text": "报文体核心字段:车辆VIN码、终端设备号、发动机转速、车速、冷却液温度、进气压力、油耗数据、电瓶电压、运行状态。", "type": "paragraph", "order": 48, "page_idx": 3}, {"bbox": [43.0, 524.0, 374.0, 543.0], "text": "4.2.2 车辆故障码上报(0x6002)", "type": "title", "order": 49, "page_idx": 3, "text_level": 2}, {"bbox": [42.0, 554.0, 848.0, 573.0], "text": "用途:OBD终端检测到车辆故障后,通过下级平台上传故障信息,支持多故障码批量上报。", "type": "paragraph", "order": 50, "page_idx": 3}, {"bbox": [42.0, 583.0, 934.0, 626.0], "text": "报文体核心字段:VIN码、故障码DTC、故障类型、故障发生时间、故障冻结帧数据、故障是否激活、故障清除状态。", "type": "paragraph", "order": 51, "page_idx": 3}, {"bbox": [42.0, 645.0, 398.0, 665.0], "text": "4.2.3 车辆定位数据上报(0x6003)", "type": "title", "order": 52, "page_idx": 3, "text_level": 2}, {"bbox": [42.0, 676.0, 645.0, 694.0], "text": "用途:同步OBD终端内置定位模块数据,关联车辆工况与位置信息。", "type": "paragraph", "order": 53, "page_idx": 3}, {"bbox": [42.0, 706.0, 826.0, 725.0], "text": "报文体核心字段:经纬度、海拔、定位速度、航向角、定位状态、卫星数量、采集时间。", "type": "paragraph", "order": 54, "page_idx": 3}, {"bbox": [42.0, 746.0, 295.0, 768.0], "text": "4.3 平台管控应答报文", "type": "title", "order": 55, "page_idx": 3, "text_level": 2}, {"bbox": [43.0, 788.0, 398.0, 807.0], "text": "4.3.1 车辆报文下发应答(0x6101)", "type": "title", "order": 56, "page_idx": 3, "text_level": 2}, {"bbox": [42.0, 818.0, 847.0, 835.0], "text": "用途:响应上级平台下发的车辆查询、远程诊断、参数配置指令,返回OBD终端执行结果。", "type": "paragraph", "order": 57, "page_idx": 3}, {"bbox": [42.0, 856.0, 408.0, 876.0], "text": "4.3.2 车辆监听/拍照应答(0x6102)", "type": "title", "order": 58, "page_idx": 3, "text_level": 2}, {"bbox": [42.0, 887.0, 941.0, 928.0], "text": "用途:针对平台远程监听车辆状态、车载拍照指令,反馈OBD设备执行状态,适配带外设扩展的OBD终端。", "type": "paragraph", "order": 59, "page_idx": 3}, {"bbox": [43.0, 33.0, 361.0, 57.0], "text": "5. OBD设备协议适配规范", "type": "title", "order": 60, "page_idx": 4, "text_level": 2}, {"bbox": [43.0, 78.0, 243.0, 101.0], "text": "5.1 数据映射规则", "type": "title", "order": 61, "page_idx": 4, "text_level": 2}, {"bbox": [42.0, 111.0, 926.0, 154.0], "text": "OBD终端采集的原始车辆数据(适配ISO15031标准)需完成809协议标准化映射,方可上传上级平台:", "type": "paragraph", "order": 62, "page_idx": 4}, {"bbox": [47.0, 165.0, 805.0, 184.0], "text": "• 故障码:统一转换为5位标准DTC编码,兼容国标故障库,剔除私有自定义故障码;", "type": "list_item", "order": 63, "page_idx": 4}, {"bbox": [47.0, 196.0, 798.0, 215.0], "text": "• 工况数据:数</w:t>
      </w:r>
      <w:r>
        <w:rPr>
          <w:rFonts w:hint="eastAsia"/>
        </w:rPr>
        <w:t>值单位统一标准化,温度单位°C、速度单位km/h、转速单位r/min;", "type": "list_item", "order": 64, "page_idx": 4}, {"bbox": [47.0, 225.0, 606.0, 246.0], "text": "• 车辆标识:强制绑定VIN唯一编码,杜绝重复设备编号上报。", "type": "list_item", "order": 65, "page_idx": 4}, {"bbox": [43.0, 266.0, 295.0, 287.0], "text": "5.2 数据上报频次规范", "type": "title", "order": 66, "page_idx": 4, "text_level": 2}, {"bbox": [47.0, 299.0, 616.0, 318.0], "text": "• 正常工况数据:默认30秒/次,平台可远程配置10-60秒可调;", "type": "list_item", "order": 67, "page_idx": 4}, {"bbox": [47.0, 329.0, 838.0, 348.0], "text": "• 故障数据:故障触发即时上报,无延迟,重复故障1分钟内仅上报1次,避免数据冗余;", "type": "list_item", "order": 68, "page_idx": 4}, {"bbox": [47.0, 360.0, 655.0, 379.0], "text": "• 定位数据:与工况数据同步上报,特殊监管场景可加密高频上报。", "type": "list_item", "order": 69, "page_idx": 4}, {"bbox": [43.0, 399.0, 245.0, 422.0], "text": "5.3 离线缓存机制", "type": "title", "order": 70, "page_idx": 4, "text_level": 2}, {"bbox": [42.0, 432.0, 932.0, 476.0], "text": "OBD设备网络离线时,自动缓存本地工况、故障、定位数据,缓存容量不少于1000条。网络恢复后,按时间顺序补传离线数据,补传完成后自动清空缓存,保障数据完整性。", "type": "paragraph", "order": 71, "page_idx": 4}, {"bbox": [43.0, 498.0, 331.0, 521.0], "text": "6. 异常处理与重传机制", "type": "title", "order": 72, "page_idx": 4, "text_level": 2}, {"bbox": [43.0, 543.0, 295.0, 564.0], "text": "6.1 报文异常判定规则", "type": "title", "order": 73, "page_idx": 4, "text_level": 2}, {"bbox": [47.0, 576.0, 621.0, 595.0], "text": "• 帧头/帧尾异常:缺失0x5B5B、0x5D5D标识,直接丢弃报文;", "type": "list_item", "order": 74, "page_idx": 4}, {"bbox": [47.0, 606.0, 574.0, 626.0], "text": "• 长度异常:报文实际长度与填报总长度不符,判定无效;", "type": "list_item", "order": 75, "page_idx": 4}, {"bbox": [47.0, 637.0, 573.0, 656.0], "text": "• 校验异常:CRC校验不匹配,丢弃报文并记录异常日志;", "type": "list_item", "order": 76, "page_idx": 4}, {"bbox": [47.0, 667.0, 564.0, 687.0], "text": "• 超时异常:指令下发后5秒未收到应答,判定通信超时。", "type": "list_item", "order": 77, "page_idx": 4}, {"bbox": [43.0, 707.0, 193.0, 728.0], "text": "6.2 重传机制", "type": "title", "order": 78, "page_idx": 4, "text_level": 2}, {"bbox": [42.0, 740.0, 951.0, 806.0], "text": "业务数据报文(工况、故障、定位)超时无应答时,自动重传,最大重传次数3次,重传间隔3秒。3次重传失败后,终止本次传输,设备记录故障日志,触发链路重连检测。心跳、登录报文不启用重传机制,直接执行重连逻辑。", "type": "paragraph", "order": 79, "page_idx": 4}, {"bbox": [43.0, 828.0, 331.0, 852.0], "text": "7. 设备调试与故障排查", "type": "title", "order": 80, "page_idx": 4, "text_level": 2}, {"bbox": [43.0, 873.0, 295.0, 895.0], "text": "7.1 正常通信状态判定", "type": "title", "order": 81, "page_idx": 4, "text_level": 2}, {"bbox": [47.0, 907.0, 410.0, 926.0], "text": "• TCP链路连接正常,无断开重连记录;", "type": "list_item", "order": 82, "page_idx": 4}, {"bbox": [48.0, 936.0, 374.0, 956.0], "text": "• 30秒心跳交互正常,无超时异常;", "type": "list_item", "order": 83, "page_idx": 4}, {"bbox": [48.0, 34.0, 472.0, 53.0], "text": "• 工况、故障数据上报后可正常接收平台应答;", "type": "list_item", "order": 84, "page_idx": 5}, {"bbox": [48.0, 65.0, 443.0, 83.0], "text": "• 报文校验通过率100%,无异常丢弃日志。", "type": "list_item", "order": 85, "page_idx": 5}, {"bbox": [45.0, 104.0, 295.0, 127.0], "text": "7.2 常见故障排查方案", "type": "title", "order": 86, "page_idx": 5, "text_level": 2}, {"bbox": [47.0, 153.0, 805.0, 435.0], "html": "&lt;table data-logical-id=\"tbl-003\"&gt;&lt;tr&gt;&lt;td rowspan=1 colspan=1&gt;故障现象&lt;/td&gt;&lt;td rowspan=1 colspan=1&gt;排查原因&lt;/td&gt;&lt;td rowspan=1 colspan=1&gt;解决方案&lt;/td&gt;&lt;/tr&gt;&lt;tr&gt;&lt;td rowspan=1 colspan=1&gt;登录平台失败&lt;/td&gt;&lt;td rowspan=1 colspan=1&gt;平台ID、密码错误，端口不通，版本不匹配&lt;/td&gt;&lt;td rowspan=1 colspan=1&gt;核对平台认证信息，检测端口连通性，统一协议版本&lt;/td&gt;&lt;/tr&gt;&lt;tr&gt;&lt;td rowspan=1 colspan=1&gt;心跳频繁超时&lt;/td&gt;&lt;td rowspan=1 colspan=1&gt;网络波动、心跳周期配置异常、平台阻塞&lt;/td&gt;&lt;td rowspan=1 colspan=1&gt;排查网络链路，恢复默认30s心跳周期，重启平台服务&lt;/td&gt;&lt;/tr&gt;&lt;tr&gt;&lt;td rowspan=1 colspan=1&gt;数据上报校验失败&lt;/td&gt;&lt;td rowspan=1 colspan=1&gt;报文封装错误、字节序异常、编码不统一&lt;/td&gt;&lt;td rowspan=1 colspan=1&gt;校准大端字节序，统一GB2312编码，重写报文封装逻辑&lt;/td&gt;&lt;/tr&gt;&lt;tr&gt;&lt;td rowspan=1 colspan=1&gt;故障数据不上报&lt;/td&gt;&lt;td rowspan=1 colspan=1&gt;OBD终端采集异常、报文ID匹配错误&lt;/td&gt;&lt;td rowspan=1 colspan=1&gt;检测终端OBD采集功能，核对故障上报报文指令ID&lt;/td&gt;&lt;/tr&gt;&lt;/table&gt;", "type": "table", "order": 87, "page_idx": 5, "logical_table_id": "tbl-003"}, {"bbox": [43.0, 461.0, 275.0, 485.0], "text": "8. 安全与运维规范", "type": "title", "order": 88, "page_idx": 5, "text_level": 2}, {"bbox": [43.0, 506.0, 194.0, 527.0], "text": "8.1 通信安全", "type": "titl</w:t>
      </w:r>
      <w:r>
        <w:rPr>
          <w:rFonts w:hint="eastAsia"/>
        </w:rPr>
        <w:t>e", "order": 89, "page_idx": 5, "text_level": 2}, {"bbox": [42.0, 538.0, 952.0, 582.0], "text": "所有809协议交互报文禁止明文篡改,平台登录密码采用加密传输,设备终端唯一标识绑定,防止非法设备接入监管平台。禁止伪造报文、重放报文攻击,平台具备报文序列号去重机制。", "type": "paragraph", "order": 90, "page_idx": 5}, {"bbox": [43.0, 602.0, 245.0, 624.0], "text": "8.2 日志运维规范", "type": "title", "order": 91, "page_idx": 5, "text_level": 2}, {"bbox": [42.0, 636.0, 927.0, 678.0], "text": "OBD设备及下级平台需完整记录协议交互日志,包含报文收发时间、报文ID、数据内容、异常信息,日志留存时长不少于90天,支持监管溯源与故障排查。", "type": "paragraph", "order": 92, "page_idx": 5}, {"bbox": [43.0, 700.0, 247.0, 724.0], "text": "9. 版本修订说明", "type": "title", "order": 93, "page_idx": 5, "text_level": 2}, {"bbox": [42.0, 736.0, 947.0, 802.0], "text": "本手册为V1.0虚拟技术版本,基于JT/T809-2019标准编制,适配全品类通用OBD监管终端。后续行业标准更新、业务场景扩展后,将同步更新报文指令、数据规范及适配规则,确保协议合规性与兼容性。", "type": "paragraph", "order": 94, "page_idx": 5}]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5CE2FCD"/>
    <w:rsid w:val="347E3E0E"/>
    <w:rsid w:val="39E972F1"/>
    <w:rsid w:val="75CE2FCD"/>
    <w:rsid w:val="B5554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Office_12.1.24709.24709_F1E327BC-269C-435d-A152-05C5408002CA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2026-07-22T10:04:00Z</dcterms:created>
  <dc:creator>郭永健</dc:creator>
  <cp:lastModifiedBy>郭永健</cp:lastModifiedBy>
  <dcterms:modified xsi:type="dcterms:W3CDTF">2026-07-22T15:32:15Z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2052-12.1.24709.24709</vt:lpwstr>
  </property>
  <property fmtid="{D5CDD505-2E9C-101B-9397-08002B2CF9AE}" pid="3" name="ICV">
    <vt:lpwstr>5A6D616E6DD4B11BBAD35E6A974D610A_41</vt:lpwstr>
  </property>
</Properties>
</file>