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56177">
      <w:pPr>
        <w:pStyle w:val="2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0" w:name="_Toc12182"/>
      <w:r>
        <w:rPr>
          <w:rFonts w:hint="eastAsia" w:ascii="微软雅黑" w:hAnsi="微软雅黑" w:eastAsia="微软雅黑" w:cs="微软雅黑"/>
          <w:lang w:val="en-US" w:eastAsia="zh-CN"/>
        </w:rPr>
        <w:t>骨干销售利润计算过程</w:t>
      </w:r>
      <w:bookmarkEnd w:id="0"/>
    </w:p>
    <w:p w14:paraId="088CB6D2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计算两票制费用</w:t>
      </w:r>
    </w:p>
    <w:p w14:paraId="0263AE88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单位底价、底价金额、底价收入、高开收入（</w:t>
      </w:r>
      <w:r>
        <w:rPr>
          <w:rFonts w:hint="eastAsia" w:ascii="微软雅黑" w:hAnsi="微软雅黑" w:eastAsia="微软雅黑" w:cs="微软雅黑"/>
          <w:color w:val="FF0000"/>
          <w:highlight w:val="yellow"/>
          <w:lang w:val="en-US" w:eastAsia="zh-CN"/>
        </w:rPr>
        <w:t>26年规则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4A19AB15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1、川渝地区（省市区是四川省、重庆市）：底价金额=价税合计、底价收入=无税金额合计、高开收入=0；（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优先级第一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）</w:t>
      </w:r>
    </w:p>
    <w:p w14:paraId="4D285813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2、规格是6支装且主含税单价是25.3的：底价金额=价税合计、底价收入=无税金额合计、高开收入=0；（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优先级第二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）</w:t>
      </w:r>
    </w:p>
    <w:p w14:paraId="1D74F74B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3、销售部门是供应链管理组、供应链组、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商务组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的：底价金额=价税合计、底价收入=无税金额合计、高开收入=0；（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优先级第三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）</w:t>
      </w:r>
    </w:p>
    <w:p w14:paraId="0F67D10F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4、开票客户是上海九州通医药有限公司和漱玉医药物流（山东）有限公司的：底价金额=价税合计、底价收入=无税金额合计、高开收入=0；（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优先级第三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）</w:t>
      </w:r>
    </w:p>
    <w:p w14:paraId="752BD961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5、开票客户是重庆今瑜医药股份有限公司且川渝地区的：底价金额=价税合计、底价收入=无税金额合计、高开收入=0；（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优先级第三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）</w:t>
      </w:r>
    </w:p>
    <w:p w14:paraId="5DDC07A3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6、开票单位是北京九州通医药有限公司，商品通用名为H1-12F,规格为10mlx12支x60盒/件，底价金额=价税合计，无税金额合计=底价收入，高开收入=0;（优先级第三）</w:t>
      </w:r>
    </w:p>
    <w:p w14:paraId="1FE4419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7、主含税净价低于26年单位底价的，均底价金额=价税合计，底价收入=无税金额合计，高开收入=0；（优先级第四）</w:t>
      </w:r>
    </w:p>
    <w:p w14:paraId="701543D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8、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  <w:t>特殊情况：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lang w:val="en-US" w:eastAsia="zh-CN"/>
        </w:rPr>
        <w:t>2026年1月使用旧单位底价，2026年2月以后使用新底价，按规格来，前为旧单位底价9、13.5、18、24，后为新单位底价9.7、14.5、19.4、25.7；（优先级第五）</w:t>
      </w:r>
    </w:p>
    <w:p w14:paraId="007013D5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9、2000419锁阳固精丸为2026年2月新增骨干品种，暂无两票制费用，单位底价=0，底价金额=价税合计，底价收入=无税金额合计，高开收入=0。</w:t>
      </w:r>
    </w:p>
    <w:p w14:paraId="05E005AE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计算两票制费用</w:t>
      </w:r>
    </w:p>
    <w:p w14:paraId="7467C62F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高开收入*1.13*0.87115</w:t>
      </w:r>
    </w:p>
    <w:p w14:paraId="39B0418E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计算主营业务成本</w:t>
      </w:r>
    </w:p>
    <w:p w14:paraId="7BF80BAC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计算发出商品成本</w:t>
      </w:r>
    </w:p>
    <w:p w14:paraId="5BCA64C7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发出商品贷方单价</w:t>
      </w:r>
    </w:p>
    <w:p w14:paraId="6CA37C91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情况一：</w:t>
      </w:r>
    </w:p>
    <w:p w14:paraId="5330BA94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《销售发票执行查询》的物料与上月的《存货核算-收发存汇总查询》的物料能匹配；</w:t>
      </w:r>
    </w:p>
    <w:p w14:paraId="247F2EA8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1、BIP系统，《存货核算-收发存汇总查询》，选择业务单元（012）、会计期间（任意单个期间）、物料基本分类（包含下级、28产品商品），获取结存单价；</w:t>
      </w:r>
    </w:p>
    <w:p w14:paraId="03B17246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4945" cy="2058035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DAF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发出商品贷方单价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=《存货核算-收发存汇总查询》上月结存单价。</w:t>
      </w:r>
    </w:p>
    <w:p w14:paraId="7EF18A5B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情况二：</w:t>
      </w:r>
    </w:p>
    <w:p w14:paraId="0F3A5734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新增的产品</w:t>
      </w:r>
    </w:p>
    <w:p w14:paraId="78464BE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1、BIP系统，《存货核算-存货明细账》，选择成本域（012）、会计期间（任意单个期间）、物料（物料编码），获取结存单价；</w:t>
      </w:r>
    </w:p>
    <w:p w14:paraId="1A8989AF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5420" cy="1717675"/>
            <wp:effectExtent l="0" t="0" r="190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075D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发出商品贷方单价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=《存货核算-存货明细账》最新入库单（采购入库、产成品入库）的结存单价。</w:t>
      </w:r>
    </w:p>
    <w:p w14:paraId="15702CD7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发出商品成本</w:t>
      </w:r>
    </w:p>
    <w:p w14:paraId="3B7E076A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发出商品贷方单价*《销售发票执行查询》的主数量</w:t>
      </w:r>
    </w:p>
    <w:p w14:paraId="03BBFC5F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运费（</w:t>
      </w:r>
      <w:r>
        <w:rPr>
          <w:rFonts w:hint="eastAsia" w:ascii="微软雅黑" w:hAnsi="微软雅黑" w:eastAsia="微软雅黑" w:cs="微软雅黑"/>
          <w:color w:val="FF0000"/>
          <w:highlight w:val="yellow"/>
          <w:lang w:val="en-US" w:eastAsia="zh-CN"/>
        </w:rPr>
        <w:t>只算鼻窦炎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398C5A02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1、上月《骨干销售发票执行查询》根据件比计算出的运费，同一物料编码汇总主数量、运费，计算出单个主数量的单位运费；</w:t>
      </w:r>
    </w:p>
    <w:p w14:paraId="1A04D3D2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2、运费=上月每个物料的单位运费*《销售发票执行查询》主数量。</w:t>
      </w:r>
    </w:p>
    <w:p w14:paraId="07851E47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主营业务成本</w:t>
      </w:r>
    </w:p>
    <w:p w14:paraId="13B4E290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发出商品成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本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+运费</w:t>
      </w:r>
    </w:p>
    <w:p w14:paraId="2CBFBBCA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底价收入（0.87115口径）</w:t>
      </w:r>
    </w:p>
    <w:p w14:paraId="784CFFB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无税金额合计-计算两票制费用</w:t>
      </w:r>
    </w:p>
    <w:p w14:paraId="4AD0447A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计算销售费用</w:t>
      </w:r>
    </w:p>
    <w:p w14:paraId="5AEE8A4E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计算例行费用</w:t>
      </w:r>
    </w:p>
    <w:p w14:paraId="038FAB63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二级账例行费用（</w:t>
      </w:r>
      <w:r>
        <w:rPr>
          <w:rFonts w:hint="eastAsia" w:ascii="微软雅黑" w:hAnsi="微软雅黑" w:eastAsia="微软雅黑" w:cs="微软雅黑"/>
          <w:color w:val="FF0000"/>
          <w:highlight w:val="yellow"/>
          <w:lang w:val="en-US" w:eastAsia="zh-CN"/>
        </w:rPr>
        <w:t>分品规（物料编码）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5D3D3F8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1、根据上月有二级账例行费用的品规（物料编码）计算各品规的二级账例行费用率；</w:t>
      </w:r>
    </w:p>
    <w:p w14:paraId="2B6DE9D1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2、二级账例行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费用率=上月各品规二级账例行费用总额/上月各品规底价收入（0.87115口径）总额；</w:t>
      </w:r>
    </w:p>
    <w:p w14:paraId="25743F7E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3、二级账例行费用=与上月同品规的各行的底价收入（0.87115口径）列*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二级账例行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费用率。</w:t>
      </w:r>
    </w:p>
    <w:p w14:paraId="5320A3D0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除二级账例行费用（</w:t>
      </w:r>
      <w:r>
        <w:rPr>
          <w:rFonts w:hint="eastAsia" w:ascii="微软雅黑" w:hAnsi="微软雅黑" w:eastAsia="微软雅黑" w:cs="微软雅黑"/>
          <w:color w:val="FF0000"/>
          <w:highlight w:val="yellow"/>
          <w:lang w:val="en-US" w:eastAsia="zh-CN"/>
        </w:rPr>
        <w:t>只算鼻窦炎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0C299068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1、除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二级账例行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费用率=上月鼻窦炎除二级账例行费用总额/上月鼻窦炎底价收入（0.87115口径）总额；</w:t>
      </w:r>
    </w:p>
    <w:p w14:paraId="1D87B5FE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2、除二级账例行费用=鼻窦炎的底价收入（0.87115口径）列*除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二级账例行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费用率。</w:t>
      </w:r>
    </w:p>
    <w:p w14:paraId="5EEF6471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例行费用合计</w:t>
      </w:r>
    </w:p>
    <w:p w14:paraId="17292A9D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二级账例行费用+除二级账例行费用</w:t>
      </w:r>
    </w:p>
    <w:p w14:paraId="75BBAD28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销售费用</w:t>
      </w:r>
    </w:p>
    <w:p w14:paraId="089F92CD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计算两票制费用+例行费用合计</w:t>
      </w:r>
    </w:p>
    <w:p w14:paraId="273C69F3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计算期间费用</w:t>
      </w:r>
    </w:p>
    <w:p w14:paraId="02B140AA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税金及附加、</w:t>
      </w:r>
      <w:r>
        <w:rPr>
          <w:rFonts w:hint="eastAsia" w:ascii="微软雅黑" w:hAnsi="微软雅黑" w:eastAsia="微软雅黑" w:cs="微软雅黑"/>
          <w:color w:val="auto"/>
          <w:highlight w:val="none"/>
          <w:lang w:val="en-US" w:eastAsia="zh-CN"/>
        </w:rPr>
        <w:t>管理费用</w:t>
      </w:r>
      <w:r>
        <w:rPr>
          <w:rFonts w:hint="eastAsia" w:ascii="微软雅黑" w:hAnsi="微软雅黑" w:eastAsia="微软雅黑" w:cs="微软雅黑"/>
          <w:lang w:val="en-US" w:eastAsia="zh-CN"/>
        </w:rPr>
        <w:t>、研发费用、财务费用</w:t>
      </w:r>
    </w:p>
    <w:p w14:paraId="48C20333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1、骨干税、管、研、财等费用率=上月各项费用总额/上月底价收入（0.87115口径）总额；</w:t>
      </w:r>
    </w:p>
    <w:p w14:paraId="05672F72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骨干税、管、研、财等费用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底价收入（0.87115口径）列*骨干税、管、研、财等费用率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。</w:t>
      </w:r>
    </w:p>
    <w:p w14:paraId="4DD2E397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利润</w:t>
      </w:r>
    </w:p>
    <w:p w14:paraId="372F37F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无税金额合计-主营业务成本-销售费用-税金及附加-管理费用-研发费用-财务费用</w:t>
      </w:r>
    </w:p>
    <w:p w14:paraId="3D99CD8A">
      <w:pPr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1674D0B4">
      <w:pPr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50E772AC">
      <w:pPr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25B977C5">
      <w:pPr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37E55907">
      <w:pPr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18E53105">
      <w:pPr>
        <w:pStyle w:val="2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31150"/>
      <w:r>
        <w:rPr>
          <w:rFonts w:hint="eastAsia" w:ascii="微软雅黑" w:hAnsi="微软雅黑" w:eastAsia="微软雅黑" w:cs="微软雅黑"/>
          <w:lang w:val="en-US" w:eastAsia="zh-CN"/>
        </w:rPr>
        <w:t>新特药销售利润计算过程</w:t>
      </w:r>
      <w:bookmarkEnd w:id="1"/>
    </w:p>
    <w:p w14:paraId="0893EB3A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计算两票制费用</w:t>
      </w:r>
    </w:p>
    <w:p w14:paraId="4CFE4700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单位底价</w:t>
      </w:r>
    </w:p>
    <w:p w14:paraId="5579E9D4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“物料+销售部门+开票客户+上月会计期间”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匹配《新特药品种单位底价表》，没匹配上的就取主含税净价。</w:t>
      </w:r>
    </w:p>
    <w:p w14:paraId="5CEA07C1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底价金额</w:t>
      </w:r>
    </w:p>
    <w:p w14:paraId="71C0D4C1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magent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主数量*单位底价</w:t>
      </w:r>
    </w:p>
    <w:p w14:paraId="69B5F9BB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底价收入</w:t>
      </w:r>
    </w:p>
    <w:p w14:paraId="179BA5FD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底价金额/1.13</w:t>
      </w:r>
    </w:p>
    <w:p w14:paraId="3FC91888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高开金额</w:t>
      </w:r>
    </w:p>
    <w:p w14:paraId="2F305E4E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价税合计-底价金额</w:t>
      </w:r>
    </w:p>
    <w:p w14:paraId="335E5B8D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高开收入</w:t>
      </w:r>
    </w:p>
    <w:p w14:paraId="513C8529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高开金额/1.13</w:t>
      </w:r>
    </w:p>
    <w:p w14:paraId="7898B5C8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计算两票制费用</w:t>
      </w:r>
    </w:p>
    <w:p w14:paraId="014F419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高开收入*1.13*0.87115</w:t>
      </w:r>
    </w:p>
    <w:p w14:paraId="18A16024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计算销售费用</w:t>
      </w:r>
    </w:p>
    <w:p w14:paraId="28665242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计算例行费用</w:t>
      </w:r>
    </w:p>
    <w:p w14:paraId="6CB74F4B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1、例行费用率=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上月例行费用合计总额/上月底价收入总额；</w:t>
      </w:r>
    </w:p>
    <w:p w14:paraId="77C9E1C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2、例行费用合计=底价收入列*例行费用率。</w:t>
      </w:r>
    </w:p>
    <w:p w14:paraId="25FC7B17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销售费用</w:t>
      </w:r>
    </w:p>
    <w:p w14:paraId="5A2848CF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计算两票制+例行费用合计</w:t>
      </w:r>
    </w:p>
    <w:p w14:paraId="55F9FA6A">
      <w:pPr>
        <w:spacing w:line="240" w:lineRule="auto"/>
        <w:rPr>
          <w:rFonts w:hint="eastAsia" w:ascii="微软雅黑" w:hAnsi="微软雅黑" w:eastAsia="微软雅黑" w:cs="微软雅黑"/>
          <w:color w:val="FF0000"/>
          <w:sz w:val="28"/>
          <w:szCs w:val="2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green"/>
          <w:lang w:val="en-US" w:eastAsia="zh-CN"/>
        </w:rPr>
        <w:t>计算完以上字段，归入《普药非新特药销售利润计算》计算剩余数据字段</w:t>
      </w:r>
    </w:p>
    <w:p w14:paraId="0B87B473">
      <w:pPr>
        <w:spacing w:line="240" w:lineRule="auto"/>
        <w:ind w:firstLine="560" w:firstLineChars="200"/>
        <w:rPr>
          <w:rFonts w:hint="default" w:ascii="微软雅黑" w:hAnsi="微软雅黑" w:eastAsia="微软雅黑" w:cs="微软雅黑"/>
          <w:color w:val="FF0000"/>
          <w:sz w:val="28"/>
          <w:szCs w:val="28"/>
          <w:highlight w:val="green"/>
          <w:lang w:val="en-US" w:eastAsia="zh-CN"/>
        </w:rPr>
      </w:pPr>
      <w:r>
        <w:rPr>
          <w:rFonts w:hint="eastAsia" w:ascii="微软雅黑" w:hAnsi="微软雅黑" w:cs="微软雅黑"/>
          <w:color w:val="FF0000"/>
          <w:sz w:val="28"/>
          <w:szCs w:val="28"/>
          <w:highlight w:val="green"/>
          <w:lang w:val="en-US" w:eastAsia="zh-CN"/>
        </w:rPr>
        <w:t>票折、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green"/>
          <w:lang w:val="en-US" w:eastAsia="zh-CN"/>
        </w:rPr>
        <w:t>主营业务成本、其他费用（税金及附加、管理费用、财务费用、研发费用）</w:t>
      </w:r>
      <w:r>
        <w:rPr>
          <w:rFonts w:hint="eastAsia" w:ascii="微软雅黑" w:hAnsi="微软雅黑" w:cs="微软雅黑"/>
          <w:color w:val="FF0000"/>
          <w:sz w:val="28"/>
          <w:szCs w:val="28"/>
          <w:highlight w:val="green"/>
          <w:lang w:val="en-US" w:eastAsia="zh-CN"/>
        </w:rPr>
        <w:t>、利润</w:t>
      </w:r>
    </w:p>
    <w:p w14:paraId="2746068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7553DC31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2BCF2E85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63916110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569808EE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3FC662AB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6B32C11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203E354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78F69C63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52EB0A9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745B7377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5BBEB323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463AA53A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44C5D40E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7C920CB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198B87D0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753011B9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2E4D531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1464A7A2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12CE1C55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782DDF7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073D9A1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687521D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</w:p>
    <w:p w14:paraId="274239D1">
      <w:pPr>
        <w:pStyle w:val="2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28635"/>
      <w:r>
        <w:rPr>
          <w:rFonts w:hint="eastAsia" w:ascii="微软雅黑" w:hAnsi="微软雅黑" w:eastAsia="微软雅黑" w:cs="微软雅黑"/>
          <w:lang w:val="en-US" w:eastAsia="zh-CN"/>
        </w:rPr>
        <w:t>普药非新特药销售利润计算过程</w:t>
      </w:r>
      <w:bookmarkEnd w:id="2"/>
    </w:p>
    <w:p w14:paraId="34B9CFB8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计算最终两票制费用</w:t>
      </w:r>
    </w:p>
    <w:p w14:paraId="1FEADE9C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单位底价</w:t>
      </w:r>
      <w:r>
        <w:rPr>
          <w:rFonts w:hint="eastAsia" w:ascii="微软雅黑" w:hAnsi="微软雅黑" w:eastAsia="微软雅黑" w:cs="微软雅黑"/>
          <w:lang w:val="en-US" w:eastAsia="zh-CN"/>
        </w:rPr>
        <w:t>、底价金额</w:t>
      </w:r>
    </w:p>
    <w:p w14:paraId="62C6E2A3">
      <w:pPr>
        <w:numPr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cs="微软雅黑"/>
          <w:color w:val="auto"/>
          <w:sz w:val="28"/>
          <w:szCs w:val="28"/>
          <w:highlight w:val="none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单位底价：</w:t>
      </w:r>
    </w:p>
    <w:p w14:paraId="01487B88">
      <w:pPr>
        <w:numPr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匹配单位底价时，需先检查导入的《普药非新特药品种单位底价表》是否有客户维度，有的话根据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“物料+销售部门+开票客户+</w:t>
      </w:r>
      <w:r>
        <w:rPr>
          <w:rFonts w:hint="eastAsia" w:ascii="微软雅黑" w:hAnsi="微软雅黑" w:cs="微软雅黑"/>
          <w:color w:val="FF0000"/>
          <w:sz w:val="28"/>
          <w:szCs w:val="28"/>
          <w:highlight w:val="green"/>
          <w:lang w:val="en-US" w:eastAsia="zh-CN"/>
        </w:rPr>
        <w:t>上月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green"/>
          <w:lang w:val="en-US" w:eastAsia="zh-CN"/>
        </w:rPr>
        <w:t>会计期间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匹配《普药非新特药品种单位底价表》，</w:t>
      </w:r>
    </w:p>
    <w:p w14:paraId="5F7EE8E0">
      <w:pPr>
        <w:numPr>
          <w:numId w:val="0"/>
        </w:numPr>
        <w:spacing w:line="240" w:lineRule="auto"/>
        <w:ind w:firstLine="560" w:firstLineChars="200"/>
        <w:rPr>
          <w:rFonts w:hint="eastAsia" w:ascii="微软雅黑" w:hAnsi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无的话根据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“物料+销售部门+</w:t>
      </w:r>
      <w:r>
        <w:rPr>
          <w:rFonts w:hint="eastAsia" w:ascii="微软雅黑" w:hAnsi="微软雅黑" w:cs="微软雅黑"/>
          <w:color w:val="FF0000"/>
          <w:sz w:val="28"/>
          <w:szCs w:val="28"/>
          <w:highlight w:val="green"/>
          <w:lang w:val="en-US" w:eastAsia="zh-CN"/>
        </w:rPr>
        <w:t>上月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green"/>
          <w:lang w:val="en-US" w:eastAsia="zh-CN"/>
        </w:rPr>
        <w:t>会计期间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匹配《普药非新特药品种单位底价表》</w:t>
      </w:r>
      <w:r>
        <w:rPr>
          <w:rFonts w:hint="eastAsia" w:ascii="微软雅黑" w:hAnsi="微软雅黑" w:cs="微软雅黑"/>
          <w:color w:val="auto"/>
          <w:sz w:val="28"/>
          <w:szCs w:val="28"/>
          <w:highlight w:val="none"/>
          <w:lang w:val="en-US" w:eastAsia="zh-CN"/>
        </w:rPr>
        <w:t>。</w:t>
      </w:r>
    </w:p>
    <w:p w14:paraId="66E78431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2、底价金额=主数量*单位底价。</w:t>
      </w:r>
    </w:p>
    <w:p w14:paraId="24DF72B1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两票制收入</w:t>
      </w:r>
    </w:p>
    <w:p w14:paraId="4B45016C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cs="微软雅黑"/>
          <w:color w:val="auto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、川渝两票制收入：省市区是四川省和重庆市的；</w:t>
      </w:r>
    </w:p>
    <w:p w14:paraId="3078E622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color w:val="auto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、省外两票制收入：省市区不是四川省和重庆市的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。</w:t>
      </w:r>
    </w:p>
    <w:p w14:paraId="7A5F2EDC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省外两票制收入合计</w:t>
      </w:r>
    </w:p>
    <w:p w14:paraId="004C93F4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省外两票制收入</w:t>
      </w:r>
    </w:p>
    <w:p w14:paraId="6EBDB507">
      <w:pPr>
        <w:numPr>
          <w:ilvl w:val="0"/>
          <w:numId w:val="2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（价税合计-底价金额）/1.13；</w:t>
      </w:r>
    </w:p>
    <w:p w14:paraId="315AA3B4">
      <w:pPr>
        <w:numPr>
          <w:ilvl w:val="0"/>
          <w:numId w:val="2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  <w:t>注：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筛选两票制收入列与价税合计列，异号（同行数据一正一负的情况），将两票制收入清零。</w:t>
      </w:r>
    </w:p>
    <w:p w14:paraId="4270A2D9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省外两票制收入调整</w:t>
      </w:r>
    </w:p>
    <w:p w14:paraId="599F77F8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省外两票制收入合计</w:t>
      </w:r>
    </w:p>
    <w:p w14:paraId="085208BC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省外两票制收入+省外两票制收入调整</w:t>
      </w:r>
    </w:p>
    <w:p w14:paraId="4E0F1E80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川渝两票制收入</w:t>
      </w:r>
    </w:p>
    <w:p w14:paraId="4E4C6288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两票制收入合计</w:t>
      </w:r>
    </w:p>
    <w:p w14:paraId="42F5A03C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省外两票制收入合计+川渝两票制收入</w:t>
      </w:r>
    </w:p>
    <w:p w14:paraId="0A5B0EEF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计算两票制费用</w:t>
      </w:r>
    </w:p>
    <w:p w14:paraId="751BB97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两票制收入合计*1.13*0.87115</w:t>
      </w:r>
    </w:p>
    <w:p w14:paraId="33080C5C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最终两票制费用</w:t>
      </w:r>
    </w:p>
    <w:p w14:paraId="041FB182">
      <w:pPr>
        <w:spacing w:line="240" w:lineRule="auto"/>
        <w:ind w:firstLine="560" w:firstLineChars="200"/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等于计算两票制费用</w:t>
      </w:r>
    </w:p>
    <w:p w14:paraId="1D90A0BE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计算收入还原票折</w:t>
      </w:r>
      <w:r>
        <w:rPr>
          <w:rFonts w:hint="eastAsia" w:cs="微软雅黑"/>
          <w:lang w:val="en-US" w:eastAsia="zh-CN"/>
        </w:rPr>
        <w:t>（</w:t>
      </w:r>
      <w:r>
        <w:rPr>
          <w:rFonts w:hint="eastAsia" w:cs="微软雅黑"/>
          <w:color w:val="FF0000"/>
          <w:highlight w:val="green"/>
          <w:lang w:val="en-US" w:eastAsia="zh-CN"/>
        </w:rPr>
        <w:t>新特药+普药非新特药</w:t>
      </w:r>
      <w:r>
        <w:rPr>
          <w:rFonts w:hint="eastAsia" w:cs="微软雅黑"/>
          <w:lang w:val="en-US" w:eastAsia="zh-CN"/>
        </w:rPr>
        <w:t>）</w:t>
      </w:r>
    </w:p>
    <w:p w14:paraId="61737B94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票折以负数呈现</w:t>
      </w:r>
    </w:p>
    <w:p w14:paraId="70A50CF9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冲抵前金额不含税</w:t>
      </w:r>
    </w:p>
    <w:p w14:paraId="60DF75D4">
      <w:pPr>
        <w:pStyle w:val="5"/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冲抵前金额/1.13</w:t>
      </w:r>
    </w:p>
    <w:p w14:paraId="1ADE32D7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当期票折</w:t>
      </w:r>
    </w:p>
    <w:p w14:paraId="1D6987EA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通过《销售发票执行查询》的</w:t>
      </w:r>
      <w:r>
        <w:rPr>
          <w:rFonts w:hint="eastAsia" w:ascii="微软雅黑" w:hAnsi="微软雅黑" w:cs="微软雅黑"/>
          <w:sz w:val="28"/>
          <w:szCs w:val="28"/>
          <w:highlight w:val="none"/>
          <w:lang w:val="en-US" w:eastAsia="zh-CN"/>
        </w:rPr>
        <w:t>发票号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查询BIP销售发票，表头冲抵金额不为0，联查费用冲抵情况，销售发票表头的冲抵金额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不等于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费用冲抵情况的金额，单据追溯查询销售订单：</w:t>
      </w:r>
    </w:p>
    <w:p w14:paraId="7C5F4564">
      <w:p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4945" cy="2238375"/>
            <wp:effectExtent l="0" t="0" r="1905" b="0"/>
            <wp:docPr id="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8CD9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1、单个数量品规（同物料编码）的当期票折=销售订单表体冲抵金额/销售订单表体主数量；</w:t>
      </w:r>
    </w:p>
    <w:p w14:paraId="315B2575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当期票折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=《销售发票执行查询》的主数量*单个数量品规（同物料编码）的当期票折*-1；</w:t>
      </w:r>
    </w:p>
    <w:p w14:paraId="5E376BBC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3、如果有多张销售订单生成一张销售发票时，需先汇总销售订单同物料编码的冲抵金额和主数量，再计算单个数量品规（同物料编码）的当期票折。</w:t>
      </w:r>
    </w:p>
    <w:p w14:paraId="19373C7F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当期票折不含税</w:t>
      </w:r>
    </w:p>
    <w:p w14:paraId="259164C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当期票折/1.13</w:t>
      </w:r>
    </w:p>
    <w:p w14:paraId="0CA57D33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冲减非当期折扣前的底价收入</w:t>
      </w:r>
    </w:p>
    <w:p w14:paraId="71002BB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冲抵前金额不含税-最终两票制费用+当期票折不含税</w:t>
      </w:r>
    </w:p>
    <w:p w14:paraId="65077140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非当期票折（补当期）、非当期票折</w:t>
      </w:r>
    </w:p>
    <w:p w14:paraId="354A49F2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通过《销售发票执行查询》的</w:t>
      </w:r>
      <w:r>
        <w:rPr>
          <w:rFonts w:hint="eastAsia" w:ascii="微软雅黑" w:hAnsi="微软雅黑" w:cs="微软雅黑"/>
          <w:sz w:val="28"/>
          <w:szCs w:val="28"/>
          <w:highlight w:val="none"/>
          <w:lang w:val="en-US" w:eastAsia="zh-CN"/>
        </w:rPr>
        <w:t>发票号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查询BIP销售发票，表头冲抵金额不为0，联查费用冲抵情况，费用冲抵情况交易类型为非当期票折（补当期）、非当期票折，复制费用冲抵情况单据号查询客户费用单维护；</w:t>
      </w:r>
    </w:p>
    <w:p w14:paraId="222E53F4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770" cy="2207260"/>
            <wp:effectExtent l="0" t="0" r="5080" b="2540"/>
            <wp:docPr id="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1641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4945" cy="1125220"/>
            <wp:effectExtent l="0" t="0" r="1905" b="8255"/>
            <wp:docPr id="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BB49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非当期票折（补当期）品规明细、非当期票折品规明细</w:t>
      </w:r>
    </w:p>
    <w:p w14:paraId="35055428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  <w:t>2026年及后面计算方法：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会在客户费用单维护物料</w:t>
      </w:r>
    </w:p>
    <w:p w14:paraId="53C7E5F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客户费用单维护的物料能在《销售发票执行查询》物料编码列以及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yellow"/>
          <w:lang w:val="en-US" w:eastAsia="zh-CN"/>
        </w:rPr>
        <w:t>张湘瑜提供的《物料转换对应关系》转换编码列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highlight w:val="none"/>
          <w:lang w:val="en-US" w:eastAsia="zh-CN"/>
        </w:rPr>
        <w:t>找得到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：</w:t>
      </w:r>
    </w:p>
    <w:p w14:paraId="47C55752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①《客户费用单》根据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开票客户+销售机构+渠道类型+业务员+物料编码+减销售单类型（非当期票折（补当期）、非当期票折）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汇总列示数据；</w:t>
      </w:r>
    </w:p>
    <w:p w14:paraId="0B584354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②《销售发票执行查询》根据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开票客户+销售部门+销售渠道+销售业务员+物料编码的冲减非当期折扣前的底价收入占比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分摊；</w:t>
      </w:r>
    </w:p>
    <w:p w14:paraId="6646712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③异常情况：</w:t>
      </w:r>
    </w:p>
    <w:p w14:paraId="3F0D8A7A">
      <w:pPr>
        <w:numPr>
          <w:ilvl w:val="0"/>
          <w:numId w:val="3"/>
        </w:numPr>
        <w:spacing w:line="240" w:lineRule="auto"/>
        <w:ind w:left="1260" w:leftChars="0" w:hanging="420" w:firstLineChars="0"/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部门差异：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《客户费用单》的销售机构与《销售发票执行查询》的销售部门不一致，目前只有重庆大区与重庆省区、四川大区与四川省区的差异，做《跨期票折部门对照》表：重庆大区=重庆省区、重庆省区=重庆大区、四川大区=四川省区、四川省区=四川大区，还是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“客户+部门+渠道+业务员+物料编码”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维度进行匹配分摊计算；</w:t>
      </w:r>
    </w:p>
    <w:p w14:paraId="5FC40A29">
      <w:pPr>
        <w:numPr>
          <w:ilvl w:val="0"/>
          <w:numId w:val="3"/>
        </w:numPr>
        <w:spacing w:line="240" w:lineRule="auto"/>
        <w:ind w:left="1260" w:leftChars="0" w:hanging="420" w:firstLineChars="0"/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其他差异：根据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客户+部门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维度进行匹配分摊计算；</w:t>
      </w:r>
    </w:p>
    <w:p w14:paraId="3DEBC3ED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非当期票折（补当期）公摊、非当期票折公摊</w:t>
      </w:r>
    </w:p>
    <w:p w14:paraId="2F09F61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  <w:t>2026年及后面计算方法：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会在客户费用单维护物料</w:t>
      </w:r>
    </w:p>
    <w:p w14:paraId="7D482A9C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客户费用单维护的物料在《销售发票执行查询》物料编码列以及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yellow"/>
          <w:lang w:val="en-US" w:eastAsia="zh-CN"/>
        </w:rPr>
        <w:t>张湘瑜提供的《物料转换对应关系》转换编码列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highlight w:val="none"/>
          <w:lang w:val="en-US" w:eastAsia="zh-CN"/>
        </w:rPr>
        <w:t>找不到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：</w:t>
      </w:r>
    </w:p>
    <w:p w14:paraId="3F071FC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①《客户费用单》根据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开票客户+销售机构+渠道类型+业务员+减销售单类型（非当期票折（补当期）、非当期票折）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汇总列示数据；</w:t>
      </w:r>
    </w:p>
    <w:p w14:paraId="5504D5CD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②《销售发票执行查询》根据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开票客户+销售部门+销售渠道+销售业务员的冲减非当期折扣前的底价收入占比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分摊；</w:t>
      </w:r>
    </w:p>
    <w:p w14:paraId="6F79225B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③异常情况：</w:t>
      </w:r>
    </w:p>
    <w:p w14:paraId="70175AAC">
      <w:pPr>
        <w:numPr>
          <w:ilvl w:val="0"/>
          <w:numId w:val="3"/>
        </w:numPr>
        <w:spacing w:line="240" w:lineRule="auto"/>
        <w:ind w:left="1260" w:leftChars="0" w:hanging="420" w:firstLineChars="0"/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部门差异：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《客户费用单》的销售机构与《销售发票执行查询》的销售部门不一致，目前只有重庆大区与重庆省区、四川大区与四川省区的差异，做《跨期票折部门对照》表：重庆大区=重庆省区、重庆省区=重庆大区、四川大区=四川省区、四川省区=四川大区，还是根据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“客户+部门+渠道+业务员”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维度进行匹配分摊计算；</w:t>
      </w:r>
    </w:p>
    <w:p w14:paraId="39C6D87B">
      <w:pPr>
        <w:numPr>
          <w:ilvl w:val="0"/>
          <w:numId w:val="3"/>
        </w:numPr>
        <w:spacing w:line="240" w:lineRule="auto"/>
        <w:ind w:left="1260" w:leftChars="0" w:hanging="420" w:firstLineChars="0"/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其他差异：根据“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客户+部门”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维度进行匹配分摊计算。</w:t>
      </w:r>
    </w:p>
    <w:p w14:paraId="0098F873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非当期票折（补当期）合计、非当期票折合计</w:t>
      </w:r>
    </w:p>
    <w:p w14:paraId="2C5A30D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1、非当期票折（补当期）合计=非当期票折（补当期）品规明细+非当期票折（补当期）公摊；</w:t>
      </w:r>
    </w:p>
    <w:p w14:paraId="6FBB5075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2、非当期票折合计=非当期票折品规明细+非当期票折公摊。</w:t>
      </w:r>
    </w:p>
    <w:p w14:paraId="2B12B2F2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非当期票折（补当期）不含税、非当期票折不含税</w:t>
      </w:r>
    </w:p>
    <w:p w14:paraId="0E663401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非当期票折（补当期）合计、非当期票折合计/1.13</w:t>
      </w:r>
    </w:p>
    <w:p w14:paraId="4C30194F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票折合计</w:t>
      </w:r>
    </w:p>
    <w:p w14:paraId="7180AEC7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当期票折+非当期票折（补当期）合计+非当期票折合计</w:t>
      </w:r>
    </w:p>
    <w:p w14:paraId="61B03858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highlight w:val="yellow"/>
          <w:lang w:val="en-US" w:eastAsia="zh-CN"/>
        </w:rPr>
        <w:t>票折校验</w:t>
      </w:r>
    </w:p>
    <w:p w14:paraId="3CCE27C7">
      <w:pPr>
        <w:widowControl w:val="0"/>
        <w:numPr>
          <w:ilvl w:val="0"/>
          <w:numId w:val="0"/>
        </w:numPr>
        <w:spacing w:line="240" w:lineRule="auto"/>
        <w:ind w:firstLine="560" w:firstLineChars="200"/>
        <w:jc w:val="both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方法一：BIP系统，《销售发票维护》，筛选开票组织（012）、开票日期（对应《销售发票执行查询》开票日期），选择全部，查看冲抵金额合计，汇总骨干、新特药品种的数据后，所有品种的票折合计与冲抵金额合计校验；</w:t>
      </w:r>
    </w:p>
    <w:p w14:paraId="05742C0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5420" cy="962660"/>
            <wp:effectExtent l="0" t="0" r="1905" b="8890"/>
            <wp:docPr id="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9C0F">
      <w:pPr>
        <w:widowControl w:val="0"/>
        <w:numPr>
          <w:ilvl w:val="0"/>
          <w:numId w:val="0"/>
        </w:numPr>
        <w:spacing w:line="240" w:lineRule="auto"/>
        <w:ind w:firstLine="560" w:firstLineChars="20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方法二：汇总骨干、新特药品种的数据后，所有品种的票折合计与《销售发票执行查询》的费用冲抵情况金额核对，核对之前需要先校验费用冲抵情况金额（冲抵前金额-费用冲抵情况金额-价税合计=0）。</w:t>
      </w:r>
    </w:p>
    <w:p w14:paraId="4411574E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跨期票折还原本期销售收入</w:t>
      </w:r>
    </w:p>
    <w:p w14:paraId="7BB6C050">
      <w:pPr>
        <w:numPr>
          <w:ilvl w:val="0"/>
          <w:numId w:val="0"/>
        </w:numPr>
        <w:spacing w:line="240" w:lineRule="auto"/>
        <w:ind w:firstLine="600" w:firstLineChars="200"/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0"/>
          <w:szCs w:val="30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总账凭证，增加的收入，总账做的收入当做票折还原，只有2025年计算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highlight w:val="yellow"/>
          <w:lang w:val="en-US" w:eastAsia="zh-CN"/>
        </w:rPr>
        <w:t>（张湘瑜提供导入总的票折转收入数据）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；</w:t>
      </w:r>
    </w:p>
    <w:p w14:paraId="7C0D3FED">
      <w:pPr>
        <w:numPr>
          <w:ilvl w:val="0"/>
          <w:numId w:val="0"/>
        </w:numPr>
        <w:spacing w:line="240" w:lineRule="auto"/>
        <w:ind w:firstLine="600" w:firstLineChars="200"/>
        <w:rPr>
          <w:rFonts w:hint="eastAsia" w:ascii="微软雅黑" w:hAnsi="微软雅黑" w:eastAsia="微软雅黑" w:cs="微软雅黑"/>
          <w:color w:val="auto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0"/>
          <w:szCs w:val="30"/>
          <w:lang w:val="en-US" w:eastAsia="zh-CN"/>
        </w:rPr>
        <w:t>表样：《附件1销售利润分析模型相关表样》-普药非新特药-跨期票折还原本期销售收入</w:t>
      </w:r>
    </w:p>
    <w:p w14:paraId="59478BC4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drawing>
          <wp:inline distT="0" distB="0" distL="114300" distR="114300">
            <wp:extent cx="5276215" cy="1870710"/>
            <wp:effectExtent l="0" t="0" r="635" b="5715"/>
            <wp:docPr id="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5195">
      <w:pPr>
        <w:numPr>
          <w:ilvl w:val="0"/>
          <w:numId w:val="0"/>
        </w:numPr>
        <w:spacing w:line="240" w:lineRule="auto"/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2、非当期合计=非当期票折（补当期）不含税+非当期票折不含税；</w:t>
      </w:r>
    </w:p>
    <w:p w14:paraId="3B8F73CA">
      <w:pPr>
        <w:numPr>
          <w:ilvl w:val="0"/>
          <w:numId w:val="0"/>
        </w:numPr>
        <w:spacing w:line="240" w:lineRule="auto"/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3、医疗事业部：根据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销售部门+物料编码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维度，《销售发票执行查询》筛选销售部门、物料编码，非当期合计列/非当期合计总额*跨期票折还原本期销售收入；</w:t>
      </w:r>
    </w:p>
    <w:p w14:paraId="0DD8E912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6215" cy="3077845"/>
            <wp:effectExtent l="0" t="0" r="635" b="8255"/>
            <wp:docPr id="2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58CE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4、多部门汇总：《销售发票执行查询》跨期票折还原本期销售收入=非当期合计列/非当期合计总额*多部门汇总的跨期票折还原本期销售收入；</w:t>
      </w:r>
    </w:p>
    <w:p w14:paraId="2B1A5201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6215" cy="3079115"/>
            <wp:effectExtent l="0" t="0" r="635" b="6985"/>
            <wp:docPr id="2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1026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5、单部门：《销售发票执行查询》跨期票折还原本期销售收入=非当期合计列/非当期合计总额*单部门的跨期票折还原本期销售收入。</w:t>
      </w:r>
    </w:p>
    <w:p w14:paraId="0D3A4011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收入还原不含税</w:t>
      </w:r>
    </w:p>
    <w:p w14:paraId="4035287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冲抵前金额不含税+三大票折不含税（票折以负数呈现）+跨期票折还原本期销售收入</w:t>
      </w:r>
    </w:p>
    <w:p w14:paraId="141915CB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highlight w:val="yellow"/>
          <w:lang w:val="en-US" w:eastAsia="zh-CN"/>
        </w:rPr>
        <w:t>注意与校验</w:t>
      </w:r>
    </w:p>
    <w:p w14:paraId="56ACFB6A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  <w:t>注：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还原需根据销售发票有什么折扣就还原什么折扣；</w:t>
      </w:r>
    </w:p>
    <w:p w14:paraId="636A445F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底价收入（0.87115口径）</w:t>
      </w:r>
      <w:r>
        <w:rPr>
          <w:rFonts w:hint="eastAsia" w:cs="微软雅黑"/>
          <w:lang w:val="en-US" w:eastAsia="zh-CN"/>
        </w:rPr>
        <w:t>（</w:t>
      </w:r>
      <w:r>
        <w:rPr>
          <w:rFonts w:hint="eastAsia" w:cs="微软雅黑"/>
          <w:color w:val="FF0000"/>
          <w:highlight w:val="green"/>
          <w:lang w:val="en-US" w:eastAsia="zh-CN"/>
        </w:rPr>
        <w:t>新特药+普药非新特药</w:t>
      </w:r>
      <w:r>
        <w:rPr>
          <w:rFonts w:hint="eastAsia" w:cs="微软雅黑"/>
          <w:lang w:val="en-US" w:eastAsia="zh-CN"/>
        </w:rPr>
        <w:t>）</w:t>
      </w:r>
    </w:p>
    <w:p w14:paraId="0A25B88B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收入还原不含税-最终两票制费用，底价收入（0.87115口径）用于分摊各自费用，除了两票制费用。</w:t>
      </w:r>
    </w:p>
    <w:p w14:paraId="35CD52FC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计算主营业务成本（只分骨干、普药）</w:t>
      </w:r>
      <w:r>
        <w:rPr>
          <w:rFonts w:hint="eastAsia" w:cs="微软雅黑"/>
          <w:lang w:val="en-US" w:eastAsia="zh-CN"/>
        </w:rPr>
        <w:t>（</w:t>
      </w:r>
      <w:r>
        <w:rPr>
          <w:rFonts w:hint="eastAsia" w:cs="微软雅黑"/>
          <w:color w:val="FF0000"/>
          <w:highlight w:val="green"/>
          <w:lang w:val="en-US" w:eastAsia="zh-CN"/>
        </w:rPr>
        <w:t>新特药+普药非新特药</w:t>
      </w:r>
      <w:r>
        <w:rPr>
          <w:rFonts w:hint="eastAsia" w:cs="微软雅黑"/>
          <w:lang w:val="en-US" w:eastAsia="zh-CN"/>
        </w:rPr>
        <w:t>）</w:t>
      </w:r>
    </w:p>
    <w:p w14:paraId="664F478D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计算发出商品成本</w:t>
      </w:r>
    </w:p>
    <w:p w14:paraId="7EC3DE53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发出商品贷方单价</w:t>
      </w:r>
    </w:p>
    <w:p w14:paraId="56B23698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情况一：</w:t>
      </w:r>
    </w:p>
    <w:p w14:paraId="4F8733D9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《销售发票执行查询》的物料与上月的《存货核算-收发存汇总查询》的物料能匹配；</w:t>
      </w:r>
    </w:p>
    <w:p w14:paraId="2B21B010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1、BIP系统，《存货核算-收发存汇总查询》，选择业务单元（012）、会计期间（任意单个期间）、物料基本分类（包含下级、28产品商品），获取结存单价；</w:t>
      </w:r>
    </w:p>
    <w:p w14:paraId="27F5A0F8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4945" cy="2058035"/>
            <wp:effectExtent l="0" t="0" r="190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671A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发出商品贷方单价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=《存货核算-收发存汇总查询》上月结存单价。</w:t>
      </w:r>
    </w:p>
    <w:p w14:paraId="15119913">
      <w:pPr>
        <w:pStyle w:val="7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情况二：</w:t>
      </w:r>
    </w:p>
    <w:p w14:paraId="49594D7F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新增的产品</w:t>
      </w:r>
    </w:p>
    <w:p w14:paraId="3EFA8F1E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1、BIP系统，《存货核算-存货明细账》，选择成本域（012）、会计期间（任意单个期间）、物料（物料编码），获取结存单价；</w:t>
      </w:r>
    </w:p>
    <w:p w14:paraId="491DCEE5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5420" cy="1717675"/>
            <wp:effectExtent l="0" t="0" r="1905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B303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发出商品贷方单价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=《存货核算-存货明细账》最新入库单（采购入库、产成品入库）的结存单价。</w:t>
      </w:r>
    </w:p>
    <w:p w14:paraId="697D25DB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发出商品成本</w:t>
      </w:r>
    </w:p>
    <w:p w14:paraId="4DA69F31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发出商品贷方单价*《销售发票执行查询》的主数量</w:t>
      </w:r>
    </w:p>
    <w:p w14:paraId="0E8CE322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农产品加计扣除</w:t>
      </w:r>
    </w:p>
    <w:p w14:paraId="7EC31247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color w:val="FF0000"/>
          <w:sz w:val="28"/>
          <w:szCs w:val="28"/>
          <w:highlight w:val="yellow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yellow"/>
          <w:lang w:val="en-US" w:eastAsia="zh-CN"/>
        </w:rPr>
        <w:t>填入占比率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；</w:t>
      </w:r>
    </w:p>
    <w:p w14:paraId="1F6AF479">
      <w:pPr>
        <w:pStyle w:val="5"/>
        <w:spacing w:line="240" w:lineRule="auto"/>
        <w:ind w:firstLine="560" w:firstLineChars="200"/>
        <w:rPr>
          <w:rFonts w:hint="eastAsia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2、农产品加计扣除总额=发出商品成本*填入占比率</w:t>
      </w:r>
      <w:r>
        <w:rPr>
          <w:rFonts w:hint="eastAsia" w:cs="微软雅黑"/>
          <w:color w:val="auto"/>
          <w:sz w:val="28"/>
          <w:szCs w:val="28"/>
          <w:highlight w:val="none"/>
          <w:lang w:val="en-US" w:eastAsia="zh-CN"/>
        </w:rPr>
        <w:t>；</w:t>
      </w:r>
    </w:p>
    <w:p w14:paraId="5A1C8374">
      <w:pPr>
        <w:pStyle w:val="5"/>
        <w:spacing w:line="240" w:lineRule="auto"/>
        <w:ind w:firstLine="560" w:firstLineChars="200"/>
        <w:rPr>
          <w:rFonts w:hint="default" w:cs="微软雅黑"/>
          <w:sz w:val="28"/>
          <w:szCs w:val="28"/>
          <w:highlight w:val="none"/>
          <w:lang w:val="en-US" w:eastAsia="zh-CN"/>
        </w:rPr>
      </w:pPr>
      <w:r>
        <w:rPr>
          <w:rFonts w:hint="eastAsia" w:cs="微软雅黑"/>
          <w:sz w:val="28"/>
          <w:szCs w:val="28"/>
          <w:highlight w:val="none"/>
          <w:lang w:val="en-US" w:eastAsia="zh-CN"/>
        </w:rPr>
        <w:t>3、农产品加计扣除=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农产品加计扣除总额</w:t>
      </w:r>
      <w:r>
        <w:rPr>
          <w:rFonts w:hint="eastAsia" w:cs="微软雅黑"/>
          <w:sz w:val="28"/>
          <w:szCs w:val="28"/>
          <w:highlight w:val="none"/>
          <w:lang w:val="en-US" w:eastAsia="zh-CN"/>
        </w:rPr>
        <w:t>/发出商品成本总额*发出商品成本列。</w:t>
      </w:r>
    </w:p>
    <w:p w14:paraId="24B1D86F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运费</w:t>
      </w:r>
    </w:p>
    <w:p w14:paraId="2E953EF6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1、上月《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普药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销售发票执行查询》根据件比计算出的运费，同一物料编码汇总主数量、运费，计算出单个主数量的单位运费；</w:t>
      </w:r>
    </w:p>
    <w:p w14:paraId="24BDB8C1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2、运费=上月每个物料的单位运费*《销售发票执行查询》主数量。</w:t>
      </w:r>
    </w:p>
    <w:p w14:paraId="6AAEACE2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主营业务成本</w:t>
      </w:r>
    </w:p>
    <w:p w14:paraId="421A8CBD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发出商品成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本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+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农产品加计扣除+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运费</w:t>
      </w:r>
    </w:p>
    <w:p w14:paraId="3A2E5B9E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计算销售费用</w:t>
      </w:r>
    </w:p>
    <w:p w14:paraId="52FC3225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计算例行费用</w:t>
      </w:r>
    </w:p>
    <w:p w14:paraId="192C98C8">
      <w:pPr>
        <w:pStyle w:val="6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例行费用合计</w:t>
      </w:r>
    </w:p>
    <w:p w14:paraId="66459E58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1、例行费用率=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上月例行费用合计总额/上月底价收入（0.87115口径）总额；</w:t>
      </w:r>
    </w:p>
    <w:p w14:paraId="6454775F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2、例行费用合计=底价收入（0.87115口径）列*例行费用率。</w:t>
      </w:r>
    </w:p>
    <w:p w14:paraId="174DD8EB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销售费用</w:t>
      </w:r>
    </w:p>
    <w:p w14:paraId="5E9167BE">
      <w:pPr>
        <w:pStyle w:val="5"/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最终两票制费用+例行费用合计</w:t>
      </w:r>
    </w:p>
    <w:p w14:paraId="4E54BD0C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计算期间费用（只分骨干、普药）</w:t>
      </w:r>
      <w:r>
        <w:rPr>
          <w:rFonts w:hint="eastAsia" w:cs="微软雅黑"/>
          <w:lang w:val="en-US" w:eastAsia="zh-CN"/>
        </w:rPr>
        <w:t>（</w:t>
      </w:r>
      <w:r>
        <w:rPr>
          <w:rFonts w:hint="eastAsia" w:cs="微软雅黑"/>
          <w:color w:val="FF0000"/>
          <w:highlight w:val="green"/>
          <w:lang w:val="en-US" w:eastAsia="zh-CN"/>
        </w:rPr>
        <w:t>新特药+普药非新特药</w:t>
      </w:r>
      <w:r>
        <w:rPr>
          <w:rFonts w:hint="eastAsia" w:cs="微软雅黑"/>
          <w:lang w:val="en-US" w:eastAsia="zh-CN"/>
        </w:rPr>
        <w:t>）</w:t>
      </w:r>
    </w:p>
    <w:p w14:paraId="62112E9F">
      <w:pPr>
        <w:pStyle w:val="4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税金及附加、</w:t>
      </w:r>
      <w:r>
        <w:rPr>
          <w:rFonts w:hint="eastAsia" w:ascii="微软雅黑" w:hAnsi="微软雅黑" w:eastAsia="微软雅黑" w:cs="微软雅黑"/>
          <w:color w:val="auto"/>
          <w:highlight w:val="none"/>
          <w:lang w:val="en-US" w:eastAsia="zh-CN"/>
        </w:rPr>
        <w:t>管理费用</w:t>
      </w:r>
      <w:r>
        <w:rPr>
          <w:rFonts w:hint="eastAsia" w:ascii="微软雅黑" w:hAnsi="微软雅黑" w:eastAsia="微软雅黑" w:cs="微软雅黑"/>
          <w:lang w:val="en-US" w:eastAsia="zh-CN"/>
        </w:rPr>
        <w:t>、研发费用、财务费用</w:t>
      </w:r>
    </w:p>
    <w:p w14:paraId="7FFA6F75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普药（新特药+普药非新特药）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税、管、研、财等费用率=上月各项费用总额/上月底价收入（0.87115口径）总额；</w:t>
      </w:r>
    </w:p>
    <w:p w14:paraId="7C37A3BC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微软雅黑" w:hAnsi="微软雅黑" w:cs="微软雅黑"/>
          <w:b w:val="0"/>
          <w:bCs w:val="0"/>
          <w:sz w:val="28"/>
          <w:szCs w:val="28"/>
          <w:lang w:val="en-US" w:eastAsia="zh-CN"/>
        </w:rPr>
        <w:t>普药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税、管、研、财等费用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底价收入（0.87115口径）列*骨干税、管、研、财等费用率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。</w:t>
      </w:r>
    </w:p>
    <w:p w14:paraId="3A7FD005">
      <w:pPr>
        <w:pStyle w:val="3"/>
        <w:bidi w:val="0"/>
        <w:spacing w:line="24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利润</w:t>
      </w:r>
      <w:r>
        <w:rPr>
          <w:rFonts w:hint="eastAsia" w:cs="微软雅黑"/>
          <w:lang w:val="en-US" w:eastAsia="zh-CN"/>
        </w:rPr>
        <w:t>（</w:t>
      </w:r>
      <w:r>
        <w:rPr>
          <w:rFonts w:hint="eastAsia" w:cs="微软雅黑"/>
          <w:color w:val="FF0000"/>
          <w:highlight w:val="green"/>
          <w:lang w:val="en-US" w:eastAsia="zh-CN"/>
        </w:rPr>
        <w:t>新特药+普药非新特药</w:t>
      </w:r>
      <w:r>
        <w:rPr>
          <w:rFonts w:hint="eastAsia" w:cs="微软雅黑"/>
          <w:lang w:val="en-US" w:eastAsia="zh-CN"/>
        </w:rPr>
        <w:t>）</w:t>
      </w:r>
      <w:bookmarkStart w:id="3" w:name="_GoBack"/>
      <w:bookmarkEnd w:id="3"/>
    </w:p>
    <w:p w14:paraId="655BE7B6">
      <w:pPr>
        <w:spacing w:line="240" w:lineRule="auto"/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收入还原不含税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-主营业务成本-销售费用-税金及附加-管理费用-研发费用-财务费用</w:t>
      </w:r>
    </w:p>
    <w:p w14:paraId="510A507C">
      <w:pPr>
        <w:spacing w:line="24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47A9DFCE">
      <w:pPr>
        <w:spacing w:line="240" w:lineRule="auto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8C707"/>
    <w:multiLevelType w:val="multilevel"/>
    <w:tmpl w:val="D488C70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微软雅黑" w:hAnsi="微软雅黑" w:eastAsia="微软雅黑"/>
        <w:sz w:val="36"/>
        <w:szCs w:val="36"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 w:ascii="微软雅黑" w:hAnsi="微软雅黑" w:eastAsia="微软雅黑"/>
        <w:b/>
        <w:bCs/>
        <w:sz w:val="32"/>
        <w:szCs w:val="32"/>
      </w:rPr>
    </w:lvl>
    <w:lvl w:ilvl="2" w:tentative="0">
      <w:start w:val="1"/>
      <w:numFmt w:val="decimal"/>
      <w:pStyle w:val="2"/>
      <w:suff w:val="space"/>
      <w:lvlText w:val="%1.%2.%3."/>
      <w:lvlJc w:val="left"/>
      <w:pPr>
        <w:ind w:left="0" w:firstLine="0"/>
      </w:pPr>
      <w:rPr>
        <w:rFonts w:hint="default" w:ascii="微软雅黑" w:hAnsi="微软雅黑" w:eastAsia="微软雅黑"/>
        <w:b/>
        <w:bCs/>
        <w:sz w:val="30"/>
        <w:szCs w:val="30"/>
      </w:rPr>
    </w:lvl>
    <w:lvl w:ilvl="3" w:tentative="0">
      <w:start w:val="1"/>
      <w:numFmt w:val="decimal"/>
      <w:pStyle w:val="3"/>
      <w:suff w:val="space"/>
      <w:lvlText w:val="%1.%2.%3.%4."/>
      <w:lvlJc w:val="left"/>
      <w:pPr>
        <w:ind w:left="0" w:firstLine="0"/>
      </w:pPr>
      <w:rPr>
        <w:rFonts w:hint="default" w:ascii="微软雅黑" w:hAnsi="微软雅黑" w:eastAsia="微软雅黑"/>
        <w:b/>
        <w:bCs/>
        <w:sz w:val="28"/>
        <w:szCs w:val="28"/>
      </w:rPr>
    </w:lvl>
    <w:lvl w:ilvl="4" w:tentative="0">
      <w:start w:val="1"/>
      <w:numFmt w:val="decimal"/>
      <w:pStyle w:val="4"/>
      <w:suff w:val="space"/>
      <w:lvlText w:val="%1.%2.%3.%4.%5."/>
      <w:lvlJc w:val="left"/>
      <w:pPr>
        <w:ind w:left="0" w:firstLine="0"/>
      </w:pPr>
      <w:rPr>
        <w:rFonts w:hint="default" w:ascii="微软雅黑" w:hAnsi="微软雅黑" w:eastAsia="微软雅黑"/>
        <w:b/>
        <w:bCs/>
        <w:sz w:val="28"/>
        <w:szCs w:val="28"/>
      </w:rPr>
    </w:lvl>
    <w:lvl w:ilvl="5" w:tentative="0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  <w:b/>
        <w:bCs/>
        <w:sz w:val="28"/>
        <w:szCs w:val="28"/>
      </w:rPr>
    </w:lvl>
    <w:lvl w:ilvl="6" w:tentative="0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  <w:b/>
        <w:bCs/>
        <w:sz w:val="28"/>
        <w:szCs w:val="28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1">
    <w:nsid w:val="2DB2DD3B"/>
    <w:multiLevelType w:val="singleLevel"/>
    <w:tmpl w:val="2DB2DD3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6CDB120"/>
    <w:multiLevelType w:val="singleLevel"/>
    <w:tmpl w:val="36CDB120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A2A98"/>
    <w:rsid w:val="01747E56"/>
    <w:rsid w:val="0569414B"/>
    <w:rsid w:val="05DA5A6E"/>
    <w:rsid w:val="075E65B2"/>
    <w:rsid w:val="0EA0228A"/>
    <w:rsid w:val="129526FC"/>
    <w:rsid w:val="1CE55908"/>
    <w:rsid w:val="30564A47"/>
    <w:rsid w:val="330F1A4A"/>
    <w:rsid w:val="3E28772B"/>
    <w:rsid w:val="475227AB"/>
    <w:rsid w:val="4A3B6D9A"/>
    <w:rsid w:val="4C1447EE"/>
    <w:rsid w:val="54977E7D"/>
    <w:rsid w:val="590A2A98"/>
    <w:rsid w:val="6AFF7348"/>
    <w:rsid w:val="6D2B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="Calibri" w:hAnsi="Calibri" w:eastAsia="微软雅黑" w:cs="Times New Roman"/>
      <w:snapToGrid/>
      <w:kern w:val="2"/>
      <w:sz w:val="28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="Times New Roman"/>
      <w:b/>
      <w:kern w:val="2"/>
      <w:sz w:val="30"/>
      <w:szCs w:val="30"/>
    </w:rPr>
  </w:style>
  <w:style w:type="paragraph" w:styleId="3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="Times New Roman"/>
      <w:b/>
      <w:bCs/>
      <w:sz w:val="28"/>
      <w:szCs w:val="28"/>
    </w:rPr>
  </w:style>
  <w:style w:type="paragraph" w:styleId="4">
    <w:name w:val="heading 5"/>
    <w:basedOn w:val="1"/>
    <w:next w:val="5"/>
    <w:link w:val="10"/>
    <w:unhideWhenUsed/>
    <w:qFormat/>
    <w:uiPriority w:val="9"/>
    <w:pPr>
      <w:numPr>
        <w:ilvl w:val="4"/>
        <w:numId w:val="1"/>
      </w:numPr>
      <w:tabs>
        <w:tab w:val="left" w:pos="0"/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8"/>
      <w:szCs w:val="22"/>
    </w:rPr>
  </w:style>
  <w:style w:type="paragraph" w:styleId="6">
    <w:name w:val="heading 6"/>
    <w:basedOn w:val="1"/>
    <w:next w:val="5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8"/>
    </w:rPr>
  </w:style>
  <w:style w:type="paragraph" w:styleId="7">
    <w:name w:val="heading 7"/>
    <w:basedOn w:val="1"/>
    <w:next w:val="5"/>
    <w:unhideWhenUsed/>
    <w:qFormat/>
    <w:uiPriority w:val="0"/>
    <w:pPr>
      <w:numPr>
        <w:ilvl w:val="6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character" w:customStyle="1" w:styleId="10">
    <w:name w:val="标题 5 Char"/>
    <w:link w:val="4"/>
    <w:qFormat/>
    <w:uiPriority w:val="0"/>
    <w:rPr>
      <w:rFonts w:ascii="Arial" w:hAnsi="Arial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8109</Words>
  <Characters>8598</Characters>
  <Lines>0</Lines>
  <Paragraphs>0</Paragraphs>
  <TotalTime>12</TotalTime>
  <ScaleCrop>false</ScaleCrop>
  <LinksUpToDate>false</LinksUpToDate>
  <CharactersWithSpaces>8599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2026-05-18T08:52:00Z</dcterms:created>
  <dc:creator>李昕^</dc:creator>
  <cp:lastModifiedBy>李昕^</cp:lastModifiedBy>
  <dcterms:modified xsi:type="dcterms:W3CDTF">2026-05-19T06:21:51Z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233822EDDA0443B885CC2CE471335D21_11</vt:lpwstr>
  </property>
  <property fmtid="{D5CDD505-2E9C-101B-9397-08002B2CF9AE}" pid="4" name="KSOTemplateDocerSaveRecord">
    <vt:lpwstr>eyJoZGlkIjoiMDg5ZWNhYWFjMjNjYTc4ZTM4NjViYTA5MWM1OTIxM2MiLCJ1c2VySWQiOiIxMjc4NjE4NjczIn0=</vt:lpwstr>
  </property>
</Properties>
</file>