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微软雅黑" w:hAnsi="微软雅黑" w:eastAsia="微软雅黑"/>
        </w:rPr>
      </w:pPr>
      <w:bookmarkStart w:id="0" w:name="_Toc396936603"/>
      <w:bookmarkStart w:id="1" w:name="_Toc325979541"/>
      <w:r>
        <w:rPr>
          <w:rFonts w:hint="eastAsia" w:ascii="微软雅黑" w:hAnsi="微软雅黑" w:eastAsia="微软雅黑"/>
        </w:rPr>
        <w:t>2.2、个人信息管理需求详细描述</w:t>
      </w:r>
      <w:bookmarkEnd w:id="0"/>
      <w:bookmarkEnd w:id="1"/>
    </w:p>
    <w:tbl>
      <w:tblPr>
        <w:tblStyle w:val="4"/>
        <w:tblW w:w="8872" w:type="dxa"/>
        <w:tblInd w:w="9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0"/>
        <w:gridCol w:w="935"/>
        <w:gridCol w:w="1061"/>
        <w:gridCol w:w="1968"/>
        <w:gridCol w:w="744"/>
        <w:gridCol w:w="151"/>
        <w:gridCol w:w="558"/>
        <w:gridCol w:w="851"/>
        <w:gridCol w:w="15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6" w:hRule="atLeast"/>
        </w:trPr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2"/>
                <w:szCs w:val="22"/>
              </w:rPr>
              <w:t>流程编号：</w:t>
            </w:r>
          </w:p>
        </w:tc>
        <w:tc>
          <w:tcPr>
            <w:tcW w:w="396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2"/>
                <w:szCs w:val="22"/>
              </w:rPr>
              <w:t>业务名称：</w:t>
            </w:r>
          </w:p>
        </w:tc>
        <w:tc>
          <w:tcPr>
            <w:tcW w:w="3154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个人信息管理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2"/>
                <w:szCs w:val="22"/>
              </w:rPr>
              <w:t>编制：</w:t>
            </w:r>
          </w:p>
        </w:tc>
        <w:tc>
          <w:tcPr>
            <w:tcW w:w="9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eastAsia="zh-CN"/>
              </w:rPr>
              <w:t>金林寶</w:t>
            </w:r>
          </w:p>
        </w:tc>
        <w:tc>
          <w:tcPr>
            <w:tcW w:w="10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2"/>
                <w:szCs w:val="22"/>
              </w:rPr>
              <w:t>日期：</w:t>
            </w:r>
          </w:p>
        </w:tc>
        <w:tc>
          <w:tcPr>
            <w:tcW w:w="19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201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0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314</w:t>
            </w:r>
          </w:p>
        </w:tc>
        <w:tc>
          <w:tcPr>
            <w:tcW w:w="7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2"/>
                <w:szCs w:val="22"/>
              </w:rPr>
              <w:t>审核：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2"/>
                <w:szCs w:val="22"/>
              </w:rPr>
              <w:t>日期：</w:t>
            </w:r>
          </w:p>
        </w:tc>
        <w:tc>
          <w:tcPr>
            <w:tcW w:w="15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4859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2"/>
                <w:szCs w:val="22"/>
              </w:rPr>
              <w:t>处理说明</w:t>
            </w:r>
          </w:p>
        </w:tc>
        <w:tc>
          <w:tcPr>
            <w:tcW w:w="300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2"/>
                <w:szCs w:val="22"/>
              </w:rPr>
              <w:t>责任人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4859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进入个人信息管理界面</w:t>
            </w:r>
          </w:p>
        </w:tc>
        <w:tc>
          <w:tcPr>
            <w:tcW w:w="300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用户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4859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显示与个人信息相关的功能</w:t>
            </w:r>
          </w:p>
        </w:tc>
        <w:tc>
          <w:tcPr>
            <w:tcW w:w="300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系统管理员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5" w:hRule="atLeast"/>
        </w:trPr>
        <w:tc>
          <w:tcPr>
            <w:tcW w:w="1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4859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选择相应的功能进行操作</w:t>
            </w:r>
          </w:p>
        </w:tc>
        <w:tc>
          <w:tcPr>
            <w:tcW w:w="300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用户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4859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等待操作完成，将结果通知用户</w:t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300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系统管理员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4859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如果成功，将更新后的信息显示并存储</w:t>
            </w:r>
          </w:p>
        </w:tc>
        <w:tc>
          <w:tcPr>
            <w:tcW w:w="300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系统管理员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4859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如果失败，提示用户重新操作</w:t>
            </w:r>
          </w:p>
        </w:tc>
        <w:tc>
          <w:tcPr>
            <w:tcW w:w="300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系统管理员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4859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继续等待用户操作，然后返回步骤3</w:t>
            </w:r>
          </w:p>
        </w:tc>
        <w:tc>
          <w:tcPr>
            <w:tcW w:w="300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系统管理员</w:t>
            </w:r>
          </w:p>
        </w:tc>
      </w:tr>
    </w:tbl>
    <w:p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CC46FE"/>
    <w:rsid w:val="49CA2959"/>
    <w:rsid w:val="61CC46F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2017-03-14T11:13:00Z</dcterms:created>
  <dc:creator>Administrator</dc:creator>
  <cp:lastModifiedBy>Administrator</cp:lastModifiedBy>
  <dcterms:modified xsi:type="dcterms:W3CDTF">2017-03-14T11:17:04Z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