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BEFFB">
      <w:pPr>
        <w:adjustRightInd w:val="0"/>
        <w:snapToGrid w:val="0"/>
        <w:spacing w:line="560" w:lineRule="exact"/>
        <w:jc w:val="left"/>
        <w:rPr>
          <w:rFonts w:ascii="黑体" w:hAnsi="黑体" w:eastAsia="黑体" w:cs="黑体"/>
          <w:spacing w:val="-7"/>
          <w:sz w:val="32"/>
          <w:szCs w:val="32"/>
        </w:rPr>
      </w:pPr>
      <w:r>
        <w:rPr>
          <w:rFonts w:hint="eastAsia" w:ascii="黑体" w:hAnsi="黑体" w:eastAsia="黑体" w:cs="黑体"/>
          <w:spacing w:val="-7"/>
          <w:sz w:val="32"/>
          <w:szCs w:val="32"/>
        </w:rPr>
        <w:t>附件1</w:t>
      </w:r>
    </w:p>
    <w:p w14:paraId="7A377A3D">
      <w:pPr>
        <w:adjustRightInd w:val="0"/>
        <w:snapToGrid w:val="0"/>
        <w:spacing w:line="560" w:lineRule="exact"/>
        <w:jc w:val="left"/>
        <w:rPr>
          <w:rFonts w:ascii="黑体" w:hAnsi="黑体" w:eastAsia="黑体" w:cs="黑体"/>
          <w:spacing w:val="-7"/>
          <w:sz w:val="32"/>
          <w:szCs w:val="32"/>
          <w:highlight w:val="yellow"/>
        </w:rPr>
      </w:pPr>
    </w:p>
    <w:p w14:paraId="30AAD20F">
      <w:pPr>
        <w:adjustRightInd w:val="0"/>
        <w:snapToGrid w:val="0"/>
        <w:spacing w:line="560" w:lineRule="exact"/>
        <w:jc w:val="center"/>
        <w:rPr>
          <w:rFonts w:ascii="方正小标宋简体" w:hAnsi="方正小标宋简体" w:eastAsia="方正小标宋简体" w:cs="方正小标宋简体"/>
          <w:spacing w:val="-7"/>
          <w:sz w:val="44"/>
          <w:szCs w:val="44"/>
        </w:rPr>
      </w:pPr>
      <w:r>
        <w:rPr>
          <w:rFonts w:hint="eastAsia" w:ascii="方正小标宋简体" w:hAnsi="方正小标宋简体" w:eastAsia="方正小标宋简体" w:cs="方正小标宋简体"/>
          <w:spacing w:val="-7"/>
          <w:sz w:val="44"/>
          <w:szCs w:val="44"/>
        </w:rPr>
        <w:t>陕西华电榆林靖边盘古梁一期</w:t>
      </w:r>
      <w:r>
        <w:rPr>
          <w:rFonts w:ascii="方正小标宋简体" w:hAnsi="方正小标宋简体" w:eastAsia="方正小标宋简体" w:cs="方正小标宋简体"/>
          <w:spacing w:val="-7"/>
          <w:sz w:val="44"/>
          <w:szCs w:val="44"/>
        </w:rPr>
        <w:t>50MW</w:t>
      </w:r>
      <w:r>
        <w:rPr>
          <w:rFonts w:hint="eastAsia" w:ascii="方正小标宋简体" w:hAnsi="方正小标宋简体" w:eastAsia="方正小标宋简体" w:cs="方正小标宋简体"/>
          <w:spacing w:val="-7"/>
          <w:sz w:val="44"/>
          <w:szCs w:val="44"/>
        </w:rPr>
        <w:t>风电</w:t>
      </w:r>
    </w:p>
    <w:p w14:paraId="631C56A0">
      <w:pPr>
        <w:adjustRightInd w:val="0"/>
        <w:snapToGrid w:val="0"/>
        <w:spacing w:line="560" w:lineRule="exact"/>
        <w:jc w:val="center"/>
        <w:rPr>
          <w:rFonts w:ascii="方正小标宋简体" w:hAnsi="方正小标宋简体" w:eastAsia="方正小标宋简体" w:cs="方正小标宋简体"/>
          <w:spacing w:val="-7"/>
          <w:sz w:val="44"/>
          <w:szCs w:val="44"/>
        </w:rPr>
      </w:pPr>
      <w:r>
        <w:rPr>
          <w:rFonts w:hint="eastAsia" w:ascii="方正小标宋简体" w:hAnsi="方正小标宋简体" w:eastAsia="方正小标宋简体" w:cs="方正小标宋简体"/>
          <w:spacing w:val="-7"/>
          <w:sz w:val="44"/>
          <w:szCs w:val="44"/>
        </w:rPr>
        <w:t>项目可行性研究报告</w:t>
      </w:r>
      <w:r>
        <w:rPr>
          <w:rFonts w:ascii="方正小标宋简体" w:hAnsi="方正小标宋简体" w:eastAsia="方正小标宋简体" w:cs="方正小标宋简体"/>
          <w:spacing w:val="-7"/>
          <w:sz w:val="44"/>
          <w:szCs w:val="44"/>
        </w:rPr>
        <w:t>内部审查</w:t>
      </w:r>
      <w:r>
        <w:rPr>
          <w:rFonts w:hint="eastAsia" w:ascii="方正小标宋简体" w:hAnsi="方正小标宋简体" w:eastAsia="方正小标宋简体" w:cs="方正小标宋简体"/>
          <w:spacing w:val="-7"/>
          <w:sz w:val="44"/>
          <w:szCs w:val="44"/>
        </w:rPr>
        <w:t>意见</w:t>
      </w:r>
    </w:p>
    <w:p w14:paraId="206B2A0B">
      <w:pPr>
        <w:autoSpaceDE w:val="0"/>
        <w:autoSpaceDN w:val="0"/>
        <w:adjustRightInd w:val="0"/>
        <w:snapToGrid w:val="0"/>
        <w:spacing w:line="560" w:lineRule="exact"/>
        <w:jc w:val="left"/>
        <w:rPr>
          <w:rFonts w:ascii="Times New Roman" w:hAnsi="Times New Roman" w:eastAsia="黑体" w:cs="Times New Roman"/>
          <w:bCs/>
          <w:sz w:val="30"/>
          <w:szCs w:val="30"/>
        </w:rPr>
      </w:pPr>
    </w:p>
    <w:p w14:paraId="03EE10E5">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集团公司技经中心于2016年10月19日在</w:t>
      </w:r>
      <w:r>
        <w:rPr>
          <w:rFonts w:hint="eastAsia" w:ascii="仿宋_GB2312" w:hAnsi="仿宋_GB2312" w:eastAsia="仿宋_GB2312" w:cs="Times New Roman"/>
          <w:sz w:val="30"/>
          <w:szCs w:val="30"/>
        </w:rPr>
        <w:t>北京</w:t>
      </w:r>
      <w:r>
        <w:rPr>
          <w:rFonts w:ascii="仿宋_GB2312" w:hAnsi="仿宋_GB2312" w:eastAsia="仿宋_GB2312" w:cs="Times New Roman"/>
          <w:sz w:val="30"/>
          <w:szCs w:val="30"/>
        </w:rPr>
        <w:t>市组织召开了</w:t>
      </w:r>
      <w:r>
        <w:rPr>
          <w:rFonts w:hint="eastAsia" w:ascii="仿宋_GB2312" w:hAnsi="仿宋_GB2312" w:eastAsia="仿宋_GB2312" w:cs="Times New Roman"/>
          <w:sz w:val="30"/>
          <w:szCs w:val="30"/>
        </w:rPr>
        <w:t>陕西华电榆林靖边盘古梁一期</w:t>
      </w:r>
      <w:r>
        <w:rPr>
          <w:rFonts w:ascii="仿宋_GB2312" w:hAnsi="仿宋_GB2312" w:eastAsia="仿宋_GB2312" w:cs="Times New Roman"/>
          <w:sz w:val="30"/>
          <w:szCs w:val="30"/>
        </w:rPr>
        <w:t>50MW风电项目（以下简称</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本工程</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）可行性研究报告内部审查会。参加会议的有：</w:t>
      </w:r>
      <w:r>
        <w:rPr>
          <w:rFonts w:hint="eastAsia" w:ascii="仿宋_GB2312" w:hAnsi="仿宋_GB2312" w:eastAsia="仿宋_GB2312" w:cs="Times New Roman"/>
          <w:sz w:val="30"/>
          <w:szCs w:val="30"/>
        </w:rPr>
        <w:t>中国华电集团有限公司</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华电陕西能源有限公司、中国电力工程顾问集团西北电力设计院有限公司（</w:t>
      </w:r>
      <w:r>
        <w:rPr>
          <w:rFonts w:ascii="仿宋_GB2312" w:hAnsi="仿宋_GB2312" w:eastAsia="仿宋_GB2312" w:cs="Times New Roman"/>
          <w:sz w:val="30"/>
          <w:szCs w:val="30"/>
        </w:rPr>
        <w:t>以下简称</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设计单位</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陕西华电新能源发电有限公司</w:t>
      </w:r>
      <w:r>
        <w:rPr>
          <w:rFonts w:ascii="仿宋_GB2312" w:hAnsi="仿宋_GB2312" w:eastAsia="仿宋_GB2312" w:cs="Times New Roman"/>
          <w:sz w:val="30"/>
          <w:szCs w:val="30"/>
        </w:rPr>
        <w:t>（以下简称</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项目公司</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）、集团公司技经中心等单位的专家及代表。</w:t>
      </w:r>
    </w:p>
    <w:p w14:paraId="54430A52">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经与会代表讨论后形成了会议纪要。根据审查纪要的要求，项目公司组织各有关单位落实了相关工作，设计单位补充完善了本工程的设计文件，并对审查会中遗留的问题进行了逐项答复。项目公司于2019年</w:t>
      </w:r>
      <w:r>
        <w:rPr>
          <w:rFonts w:ascii="仿宋_GB2312" w:hAnsi="仿宋_GB2312" w:eastAsia="仿宋_GB2312" w:cs="Times New Roman"/>
          <w:sz w:val="30"/>
          <w:szCs w:val="30"/>
        </w:rPr>
        <w:t>6</w:t>
      </w:r>
      <w:r>
        <w:rPr>
          <w:rFonts w:hint="eastAsia" w:ascii="仿宋_GB2312" w:hAnsi="仿宋_GB2312" w:eastAsia="仿宋_GB2312" w:cs="Times New Roman"/>
          <w:sz w:val="30"/>
          <w:szCs w:val="30"/>
        </w:rPr>
        <w:t>月</w:t>
      </w:r>
      <w:r>
        <w:rPr>
          <w:rFonts w:ascii="仿宋_GB2312" w:hAnsi="仿宋_GB2312" w:eastAsia="仿宋_GB2312" w:cs="Times New Roman"/>
          <w:sz w:val="30"/>
          <w:szCs w:val="30"/>
        </w:rPr>
        <w:t>17</w:t>
      </w:r>
      <w:r>
        <w:rPr>
          <w:rFonts w:hint="eastAsia" w:ascii="仿宋_GB2312" w:hAnsi="仿宋_GB2312" w:eastAsia="仿宋_GB2312" w:cs="Times New Roman"/>
          <w:sz w:val="30"/>
          <w:szCs w:val="30"/>
        </w:rPr>
        <w:t>日提交修改后的报告，技经中心组织有关专家根据重新提供的设计文件对设计审查遗留的技术和概算问题逐项进行了讨论和评审，并达成了一致意见。除在可行性研究报告审查会议中已明确主要原则要求的条件下，现提出如下内部审查意见：</w:t>
      </w:r>
    </w:p>
    <w:p w14:paraId="283DF2CF">
      <w:pPr>
        <w:keepNext/>
        <w:keepLines/>
        <w:adjustRightInd w:val="0"/>
        <w:snapToGrid w:val="0"/>
        <w:spacing w:beforeLines="0" w:afterLines="0" w:line="560" w:lineRule="exact"/>
        <w:ind w:firstLine="600" w:firstLineChars="200"/>
        <w:outlineLvl w:val="0"/>
        <w:rPr>
          <w:rFonts w:ascii="黑体" w:hAnsi="黑体" w:eastAsia="黑体" w:cs="黑体"/>
          <w:bCs/>
          <w:kern w:val="44"/>
          <w:sz w:val="30"/>
          <w:szCs w:val="30"/>
        </w:rPr>
      </w:pPr>
      <w:r>
        <w:rPr>
          <w:rFonts w:ascii="黑体" w:hAnsi="黑体" w:eastAsia="黑体" w:cs="黑体"/>
          <w:bCs/>
          <w:kern w:val="44"/>
          <w:sz w:val="30"/>
          <w:szCs w:val="30"/>
        </w:rPr>
        <w:t>一、项目建设的必要性</w:t>
      </w:r>
    </w:p>
    <w:p w14:paraId="640EBD03">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本工程场址位于陕西省靖边县城南约</w:t>
      </w:r>
      <w:r>
        <w:rPr>
          <w:rFonts w:ascii="仿宋_GB2312" w:hAnsi="仿宋_GB2312" w:eastAsia="仿宋_GB2312" w:cs="Times New Roman"/>
          <w:sz w:val="30"/>
          <w:szCs w:val="30"/>
        </w:rPr>
        <w:t>40km。属中温带半干旱大陆性季风气候区。</w:t>
      </w:r>
      <w:r>
        <w:rPr>
          <w:rFonts w:hint="eastAsia" w:ascii="仿宋_GB2312" w:hAnsi="仿宋_GB2312" w:eastAsia="仿宋_GB2312" w:cs="Times New Roman"/>
          <w:sz w:val="30"/>
          <w:szCs w:val="30"/>
        </w:rPr>
        <w:t>场区南部</w:t>
      </w:r>
      <w:r>
        <w:rPr>
          <w:rFonts w:ascii="仿宋_GB2312" w:hAnsi="仿宋_GB2312" w:eastAsia="仿宋_GB2312" w:cs="Times New Roman"/>
          <w:sz w:val="30"/>
          <w:szCs w:val="30"/>
        </w:rPr>
        <w:t>0821#测风塔90m高度观测年平均风速为6.32m/s，年平均风功率密度为218.3W/m</w:t>
      </w:r>
      <w:r>
        <w:rPr>
          <w:rFonts w:ascii="仿宋_GB2312" w:hAnsi="仿宋_GB2312" w:eastAsia="仿宋_GB2312" w:cs="Times New Roman"/>
          <w:sz w:val="30"/>
          <w:szCs w:val="30"/>
          <w:vertAlign w:val="superscript"/>
        </w:rPr>
        <w:t>2</w:t>
      </w:r>
      <w:r>
        <w:rPr>
          <w:rFonts w:hint="eastAsia" w:ascii="仿宋_GB2312" w:hAnsi="仿宋_GB2312" w:eastAsia="仿宋_GB2312" w:cs="Times New Roman"/>
          <w:sz w:val="30"/>
          <w:szCs w:val="30"/>
        </w:rPr>
        <w:t>，场区北部</w:t>
      </w:r>
      <w:r>
        <w:rPr>
          <w:rFonts w:ascii="仿宋_GB2312" w:hAnsi="仿宋_GB2312" w:eastAsia="仿宋_GB2312" w:cs="Times New Roman"/>
          <w:sz w:val="30"/>
          <w:szCs w:val="30"/>
        </w:rPr>
        <w:t>3813#测风塔90m高度代表年平均风速为5.49m/s，年平均风功率密度为142.8W/m</w:t>
      </w:r>
      <w:r>
        <w:rPr>
          <w:rFonts w:ascii="仿宋_GB2312" w:hAnsi="仿宋_GB2312" w:eastAsia="仿宋_GB2312" w:cs="Times New Roman"/>
          <w:sz w:val="30"/>
          <w:szCs w:val="30"/>
          <w:vertAlign w:val="superscript"/>
        </w:rPr>
        <w:t>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本工程风电场风功率密度等级为1级。</w:t>
      </w:r>
    </w:p>
    <w:p w14:paraId="47CDE0A5">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利用当地的风能资源，建设风力发电项目，可以改善当地的能源结构，实现电力供应的多元化，符合国家环保、节能和可持续发展的要求</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同时也符合集团的发展战略。</w:t>
      </w:r>
    </w:p>
    <w:p w14:paraId="09303A15">
      <w:pPr>
        <w:keepNext/>
        <w:keepLines/>
        <w:adjustRightInd w:val="0"/>
        <w:snapToGrid w:val="0"/>
        <w:spacing w:beforeLines="0" w:afterLines="0" w:line="560" w:lineRule="exact"/>
        <w:ind w:firstLine="600" w:firstLineChars="200"/>
        <w:outlineLvl w:val="0"/>
        <w:rPr>
          <w:rFonts w:ascii="黑体" w:hAnsi="黑体" w:eastAsia="黑体" w:cs="黑体"/>
          <w:bCs/>
          <w:kern w:val="44"/>
          <w:sz w:val="30"/>
          <w:szCs w:val="30"/>
        </w:rPr>
      </w:pPr>
      <w:r>
        <w:rPr>
          <w:rFonts w:ascii="黑体" w:hAnsi="黑体" w:eastAsia="黑体" w:cs="黑体"/>
          <w:bCs/>
          <w:kern w:val="44"/>
          <w:sz w:val="30"/>
          <w:szCs w:val="30"/>
        </w:rPr>
        <w:t>二、建设规模和建设条件</w:t>
      </w:r>
    </w:p>
    <w:p w14:paraId="21783F5C">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（一）</w:t>
      </w:r>
      <w:r>
        <w:rPr>
          <w:rFonts w:hint="eastAsia" w:ascii="仿宋_GB2312" w:hAnsi="仿宋_GB2312" w:eastAsia="仿宋_GB2312" w:cs="Times New Roman"/>
          <w:sz w:val="30"/>
          <w:szCs w:val="30"/>
        </w:rPr>
        <w:t>风电场规划总装机规模</w:t>
      </w:r>
      <w:r>
        <w:rPr>
          <w:rFonts w:ascii="仿宋_GB2312" w:hAnsi="仿宋_GB2312" w:eastAsia="仿宋_GB2312" w:cs="Times New Roman"/>
          <w:sz w:val="30"/>
          <w:szCs w:val="30"/>
        </w:rPr>
        <w:t>200MW，分期建设，本</w:t>
      </w:r>
      <w:r>
        <w:rPr>
          <w:rFonts w:hint="eastAsia" w:ascii="仿宋_GB2312" w:hAnsi="仿宋_GB2312" w:eastAsia="仿宋_GB2312" w:cs="Times New Roman"/>
          <w:sz w:val="30"/>
          <w:szCs w:val="30"/>
        </w:rPr>
        <w:t>期</w:t>
      </w:r>
      <w:r>
        <w:rPr>
          <w:rFonts w:ascii="仿宋_GB2312" w:hAnsi="仿宋_GB2312" w:eastAsia="仿宋_GB2312" w:cs="Times New Roman"/>
          <w:sz w:val="30"/>
          <w:szCs w:val="30"/>
        </w:rPr>
        <w:t>工程为一期工程，装机规模为50MW，拟安装17台单机容量为3000kW风电机组。</w:t>
      </w:r>
    </w:p>
    <w:p w14:paraId="492282FD">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（二）</w:t>
      </w:r>
      <w:r>
        <w:rPr>
          <w:rFonts w:hint="eastAsia" w:ascii="仿宋_GB2312" w:hAnsi="仿宋_GB2312" w:eastAsia="仿宋_GB2312" w:cs="Times New Roman"/>
          <w:sz w:val="30"/>
          <w:szCs w:val="30"/>
        </w:rPr>
        <w:t>根据陕西省发展和改革委员会《关于印发</w:t>
      </w:r>
      <w:r>
        <w:rPr>
          <w:rFonts w:ascii="仿宋_GB2312" w:hAnsi="仿宋_GB2312" w:eastAsia="仿宋_GB2312" w:cs="Times New Roman"/>
          <w:sz w:val="30"/>
          <w:szCs w:val="30"/>
        </w:rPr>
        <w:t>2016年陕西省风电开发建设方案的通知》（</w:t>
      </w:r>
      <w:r>
        <w:rPr>
          <w:rFonts w:hint="eastAsia" w:ascii="仿宋_GB2312" w:hAnsi="仿宋_GB2312" w:eastAsia="仿宋_GB2312" w:cs="Times New Roman"/>
          <w:sz w:val="30"/>
          <w:szCs w:val="30"/>
        </w:rPr>
        <w:t>陕发改新能源〔</w:t>
      </w:r>
      <w:r>
        <w:rPr>
          <w:rFonts w:ascii="仿宋_GB2312" w:hAnsi="仿宋_GB2312" w:eastAsia="仿宋_GB2312" w:cs="Times New Roman"/>
          <w:sz w:val="30"/>
          <w:szCs w:val="30"/>
        </w:rPr>
        <w:t>2016〕393号</w:t>
      </w:r>
      <w:r>
        <w:rPr>
          <w:rFonts w:hint="eastAsia" w:ascii="仿宋_GB2312" w:hAnsi="仿宋_GB2312" w:eastAsia="仿宋_GB2312" w:cs="Times New Roman"/>
          <w:sz w:val="30"/>
          <w:szCs w:val="30"/>
        </w:rPr>
        <w:t>），本工程已列入陕西省</w:t>
      </w:r>
      <w:r>
        <w:rPr>
          <w:rFonts w:ascii="仿宋_GB2312" w:hAnsi="仿宋_GB2312" w:eastAsia="仿宋_GB2312" w:cs="Times New Roman"/>
          <w:sz w:val="30"/>
          <w:szCs w:val="30"/>
        </w:rPr>
        <w:t>2016年风电项目开发建设方案。</w:t>
      </w:r>
    </w:p>
    <w:p w14:paraId="12AA88E9">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（三）陕西省发展和改革委员会以《关于同意陕西华电新能源发电有限公司靖边盘古梁风电场一期工程项目核准延期的通知》（陕发改新能源〔</w:t>
      </w:r>
      <w:r>
        <w:rPr>
          <w:rFonts w:ascii="仿宋_GB2312" w:hAnsi="仿宋_GB2312" w:eastAsia="仿宋_GB2312" w:cs="Times New Roman"/>
          <w:sz w:val="30"/>
          <w:szCs w:val="30"/>
        </w:rPr>
        <w:t>2018〕1395</w:t>
      </w:r>
      <w:r>
        <w:rPr>
          <w:rFonts w:hint="eastAsia" w:ascii="仿宋_GB2312" w:hAnsi="仿宋_GB2312" w:eastAsia="仿宋_GB2312" w:cs="Times New Roman"/>
          <w:sz w:val="30"/>
          <w:szCs w:val="30"/>
        </w:rPr>
        <w:t>号）一文，同意本工程核准文件有效期延长至2</w:t>
      </w:r>
      <w:r>
        <w:rPr>
          <w:rFonts w:ascii="仿宋_GB2312" w:hAnsi="仿宋_GB2312" w:eastAsia="仿宋_GB2312" w:cs="Times New Roman"/>
          <w:sz w:val="30"/>
          <w:szCs w:val="30"/>
        </w:rPr>
        <w:t>019</w:t>
      </w:r>
      <w:r>
        <w:rPr>
          <w:rFonts w:hint="eastAsia" w:ascii="仿宋_GB2312" w:hAnsi="仿宋_GB2312" w:eastAsia="仿宋_GB2312" w:cs="Times New Roman"/>
          <w:sz w:val="30"/>
          <w:szCs w:val="30"/>
        </w:rPr>
        <w:t>年1</w:t>
      </w: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月3</w:t>
      </w:r>
      <w:r>
        <w:rPr>
          <w:rFonts w:ascii="仿宋_GB2312" w:hAnsi="仿宋_GB2312" w:eastAsia="仿宋_GB2312" w:cs="Times New Roman"/>
          <w:sz w:val="30"/>
          <w:szCs w:val="30"/>
        </w:rPr>
        <w:t>0</w:t>
      </w:r>
      <w:r>
        <w:rPr>
          <w:rFonts w:hint="eastAsia" w:ascii="仿宋_GB2312" w:hAnsi="仿宋_GB2312" w:eastAsia="仿宋_GB2312" w:cs="Times New Roman"/>
          <w:sz w:val="30"/>
          <w:szCs w:val="30"/>
        </w:rPr>
        <w:t>日。</w:t>
      </w:r>
    </w:p>
    <w:p w14:paraId="0422E186">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四</w:t>
      </w:r>
      <w:r>
        <w:rPr>
          <w:rFonts w:ascii="仿宋_GB2312" w:hAnsi="仿宋_GB2312" w:eastAsia="仿宋_GB2312" w:cs="Times New Roman"/>
          <w:sz w:val="30"/>
          <w:szCs w:val="30"/>
        </w:rPr>
        <w:t>）本工程已取得政府有关主管部门的主要批复文件有：</w:t>
      </w:r>
    </w:p>
    <w:p w14:paraId="69BACDFA">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陕西省国土资源厅：《关于陕西华电靖边盘古梁一期50MW风电工程建设项目用地预审的复函》（陕国土资预审[2016]59号）。</w:t>
      </w:r>
    </w:p>
    <w:p w14:paraId="2BCF14DF">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根据本文件，陕西省国土资源厅批复永久占地面积为</w:t>
      </w:r>
      <w:r>
        <w:rPr>
          <w:rFonts w:ascii="仿宋_GB2312" w:hAnsi="仿宋_GB2312" w:eastAsia="仿宋_GB2312" w:cs="Times New Roman"/>
          <w:sz w:val="30"/>
          <w:szCs w:val="30"/>
        </w:rPr>
        <w:t>2.725公顷，土地性质为农用地，请项目公司取得土地性质转换审批手续。</w:t>
      </w:r>
    </w:p>
    <w:p w14:paraId="1B151F7F">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 陕西省水土保持局：《关于陕西华电靖边盘古梁一期50MW风电项目水土保持方案报告书的批复》（陕水保监函</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2016〕125号）</w:t>
      </w:r>
      <w:r>
        <w:rPr>
          <w:rFonts w:hint="eastAsia" w:ascii="仿宋_GB2312" w:hAnsi="仿宋_GB2312" w:eastAsia="仿宋_GB2312" w:cs="Times New Roman"/>
          <w:sz w:val="30"/>
          <w:szCs w:val="30"/>
        </w:rPr>
        <w:t>，批复有效期2年，现已过期</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项目公司已重新编制水保专题报告，请项目公司开工前重新取得水保批复。</w:t>
      </w:r>
    </w:p>
    <w:p w14:paraId="581AD881">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3.</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陕西省环境保护厅：《关于陕西华电靖边盘古梁一期5</w:t>
      </w:r>
      <w:r>
        <w:rPr>
          <w:rFonts w:ascii="仿宋_GB2312" w:hAnsi="仿宋_GB2312" w:eastAsia="仿宋_GB2312" w:cs="Times New Roman"/>
          <w:sz w:val="30"/>
          <w:szCs w:val="30"/>
        </w:rPr>
        <w:t>0MW</w:t>
      </w:r>
      <w:r>
        <w:rPr>
          <w:rFonts w:hint="eastAsia" w:ascii="仿宋_GB2312" w:hAnsi="仿宋_GB2312" w:eastAsia="仿宋_GB2312" w:cs="Times New Roman"/>
          <w:sz w:val="30"/>
          <w:szCs w:val="30"/>
        </w:rPr>
        <w:t>风电项目环境影响报告书的批复》（陕环批复〔</w:t>
      </w:r>
      <w:r>
        <w:rPr>
          <w:rFonts w:ascii="仿宋_GB2312" w:hAnsi="仿宋_GB2312" w:eastAsia="仿宋_GB2312" w:cs="Times New Roman"/>
          <w:sz w:val="30"/>
          <w:szCs w:val="30"/>
        </w:rPr>
        <w:t>2016〕658</w:t>
      </w:r>
      <w:r>
        <w:rPr>
          <w:rFonts w:hint="eastAsia" w:ascii="仿宋_GB2312" w:hAnsi="仿宋_GB2312" w:eastAsia="仿宋_GB2312" w:cs="Times New Roman"/>
          <w:sz w:val="30"/>
          <w:szCs w:val="30"/>
        </w:rPr>
        <w:t>号）。</w:t>
      </w:r>
    </w:p>
    <w:p w14:paraId="1335569C">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4</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本工程还取得了不压覆矿产、安全预评价以及社会稳定风险评估等相关批复。</w:t>
      </w:r>
    </w:p>
    <w:p w14:paraId="044C9036">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（四）</w:t>
      </w:r>
      <w:r>
        <w:rPr>
          <w:rFonts w:hint="eastAsia" w:ascii="仿宋_GB2312" w:hAnsi="仿宋_GB2312" w:eastAsia="仿宋_GB2312" w:cs="Times New Roman"/>
          <w:sz w:val="30"/>
          <w:szCs w:val="30"/>
        </w:rPr>
        <w:t>本工程已编制完成接入系统设计报告，根据接入系统设计报告，接入系统方案为：风电场新建一座</w:t>
      </w:r>
      <w:r>
        <w:rPr>
          <w:rFonts w:ascii="仿宋_GB2312" w:hAnsi="仿宋_GB2312" w:eastAsia="仿宋_GB2312" w:cs="Times New Roman"/>
          <w:sz w:val="30"/>
          <w:szCs w:val="30"/>
        </w:rPr>
        <w:t>110kV升压站，以1回110kV线路送至330kV吉山梁变电站，线路长度为41km，导线型式为LGJ-2×300。送出线路由项目公司出资建设。</w:t>
      </w:r>
    </w:p>
    <w:p w14:paraId="4693A08C">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请项目公司取得本期接入系统批复意见，最终接入系统方案应以批复意见为准。</w:t>
      </w:r>
    </w:p>
    <w:p w14:paraId="60357808">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五</w:t>
      </w:r>
      <w:r>
        <w:rPr>
          <w:rFonts w:ascii="仿宋_GB2312" w:hAnsi="仿宋_GB2312" w:eastAsia="仿宋_GB2312" w:cs="Times New Roman"/>
          <w:sz w:val="30"/>
          <w:szCs w:val="30"/>
        </w:rPr>
        <w:t>）完成了可研阶段的地质</w:t>
      </w:r>
      <w:r>
        <w:rPr>
          <w:rFonts w:hint="eastAsia" w:ascii="仿宋_GB2312" w:hAnsi="仿宋_GB2312" w:eastAsia="仿宋_GB2312" w:cs="Times New Roman"/>
          <w:sz w:val="30"/>
          <w:szCs w:val="30"/>
        </w:rPr>
        <w:t>初勘</w:t>
      </w:r>
      <w:r>
        <w:rPr>
          <w:rFonts w:ascii="仿宋_GB2312" w:hAnsi="仿宋_GB2312" w:eastAsia="仿宋_GB2312" w:cs="Times New Roman"/>
          <w:sz w:val="30"/>
          <w:szCs w:val="30"/>
        </w:rPr>
        <w:t>工作，并依据1:2000的地形图完成风电场</w:t>
      </w:r>
      <w:r>
        <w:rPr>
          <w:rFonts w:hint="eastAsia" w:ascii="仿宋_GB2312" w:hAnsi="仿宋_GB2312" w:eastAsia="仿宋_GB2312" w:cs="Times New Roman"/>
          <w:sz w:val="30"/>
          <w:szCs w:val="30"/>
        </w:rPr>
        <w:t>相关</w:t>
      </w:r>
      <w:r>
        <w:rPr>
          <w:rFonts w:ascii="仿宋_GB2312" w:hAnsi="仿宋_GB2312" w:eastAsia="仿宋_GB2312" w:cs="Times New Roman"/>
          <w:sz w:val="30"/>
          <w:szCs w:val="30"/>
        </w:rPr>
        <w:t>设计。</w:t>
      </w:r>
    </w:p>
    <w:p w14:paraId="298CD327">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（六）施工用水及生活用水水车拉水，运距暂按</w:t>
      </w:r>
      <w:r>
        <w:rPr>
          <w:rFonts w:ascii="仿宋_GB2312" w:hAnsi="仿宋_GB2312" w:eastAsia="仿宋_GB2312" w:cs="Times New Roman"/>
          <w:sz w:val="30"/>
          <w:szCs w:val="30"/>
        </w:rPr>
        <w:t>10km。</w:t>
      </w:r>
      <w:r>
        <w:rPr>
          <w:rFonts w:hint="eastAsia" w:ascii="仿宋_GB2312" w:hAnsi="仿宋_GB2312" w:eastAsia="仿宋_GB2312" w:cs="Times New Roman"/>
          <w:sz w:val="30"/>
          <w:szCs w:val="30"/>
        </w:rPr>
        <w:t>施工电源引接自王渠则</w:t>
      </w:r>
      <w:r>
        <w:rPr>
          <w:rFonts w:ascii="仿宋_GB2312" w:hAnsi="仿宋_GB2312" w:eastAsia="仿宋_GB2312" w:cs="Times New Roman"/>
          <w:sz w:val="30"/>
          <w:szCs w:val="30"/>
        </w:rPr>
        <w:t>35kV变电站</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各机位施工可采用移动式柴油发电机组。</w:t>
      </w:r>
    </w:p>
    <w:p w14:paraId="731A202D">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（七）本工程升压站按照</w:t>
      </w:r>
      <w:r>
        <w:rPr>
          <w:rFonts w:ascii="仿宋_GB2312" w:hAnsi="仿宋_GB2312" w:eastAsia="仿宋_GB2312" w:cs="Times New Roman"/>
          <w:sz w:val="30"/>
          <w:szCs w:val="30"/>
        </w:rPr>
        <w:t>100MW装机容量进行规划，按照集团公司“远程集控、少人维护”的原则设计。</w:t>
      </w:r>
    </w:p>
    <w:p w14:paraId="02FFCD34">
      <w:pPr>
        <w:pStyle w:val="2"/>
        <w:keepNext/>
        <w:keepLines/>
        <w:adjustRightInd w:val="0"/>
        <w:spacing w:beforeLines="0" w:afterLines="0"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三、工程地质部分</w:t>
      </w:r>
    </w:p>
    <w:p w14:paraId="4CAAE700">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（一）根据《中国地震动参数区划图》</w:t>
      </w:r>
      <w:r>
        <w:rPr>
          <w:rFonts w:ascii="仿宋_GB2312" w:hAnsi="仿宋_GB2312" w:eastAsia="仿宋_GB2312" w:cs="Times New Roman"/>
          <w:sz w:val="30"/>
          <w:szCs w:val="30"/>
        </w:rPr>
        <w:t>(GB18306-2015)，场址区的50年超越概率10%的地震动峰值加速度0.05g，对应的地震烈度为VI度。场地土类别为III类，地震动反应谱特征周期为0.45s。</w:t>
      </w:r>
    </w:p>
    <w:p w14:paraId="6BEE735E">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（二）本工程开展场区平面地质调查和槽坑探部分勘测工作，根据工作结果：</w:t>
      </w:r>
    </w:p>
    <w:p w14:paraId="0ED07331">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hint="eastAsia" w:ascii="仿宋_GB2312" w:hAnsi="仿宋_GB2312" w:eastAsia="仿宋_GB2312" w:cs="Times New Roman"/>
          <w:sz w:val="30"/>
          <w:szCs w:val="30"/>
          <w:lang w:val="en-US" w:eastAsia="zh-CN"/>
        </w:rPr>
        <w:t xml:space="preserve"> </w:t>
      </w:r>
      <w:r>
        <w:rPr>
          <w:rFonts w:ascii="仿宋_GB2312" w:hAnsi="仿宋_GB2312" w:eastAsia="仿宋_GB2312" w:cs="Times New Roman"/>
          <w:sz w:val="30"/>
          <w:szCs w:val="30"/>
        </w:rPr>
        <w:t>场地位于本工程位于华北地台西南边缘的陕西北部，主要地貌为黄土梁、峁。</w:t>
      </w:r>
    </w:p>
    <w:p w14:paraId="5B7C6952">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场址区域大部分山坡有雨水冲蚀现象，局部山坡冲蚀较严重，坡脚处发育小冲沟，局部坡脚处冲沟发育，在黄土梁峁中下部见有崩塌、垮塌及小型滑坡现象。风机塔架布置时应与黄土梁、峁顶部的边缘保持一定的安全距离，防止边坡失稳或者累进性坍塌破坏影响基础稳定。</w:t>
      </w:r>
    </w:p>
    <w:p w14:paraId="1D1B8570">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区域内既无区域性较大活动断裂通过，也无规模较小的次级活动断层存在，属地质构造相对稳定地带。周缘活动断陷带距拟建风电场均满足规范要求的安全避让距离，区域稳定性可满足风电场建设要求。</w:t>
      </w:r>
    </w:p>
    <w:p w14:paraId="1B2B3156">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拟建场地的地层岩性主要为黄土和古土壤，以黄土为主，场地湿陷类型为自重湿陷性黄土场地、湿陷等级Ⅱ～Ⅲ级；湿陷下限深度大于24.9m。拟建场地地基土为厚层的湿陷性黄土，且地基的湿陷等级为严重～很严重，在未经处理的情况下不宜作建(构)筑物的地基持力层。</w:t>
      </w:r>
    </w:p>
    <w:p w14:paraId="790B0082">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风机处于梁峁地区，勘探深度内未发现地下水，根据调查梁峁区域地下水埋深大于30.0m。</w:t>
      </w:r>
    </w:p>
    <w:p w14:paraId="1A632B38">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4</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拟建场址所在地区最大冻土深度为120cm。</w:t>
      </w:r>
    </w:p>
    <w:p w14:paraId="20AD8395">
      <w:pPr>
        <w:pStyle w:val="2"/>
        <w:keepNext/>
        <w:keepLines/>
        <w:adjustRightInd w:val="0"/>
        <w:spacing w:beforeLines="0" w:afterLines="0"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四、风资源评估部分</w:t>
      </w:r>
    </w:p>
    <w:p w14:paraId="4DF4FA42">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（一）参证气象站</w:t>
      </w:r>
    </w:p>
    <w:p w14:paraId="5A5E77C1">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原则同意本阶段设计单位通过对比分析本工程周边的气象站，采用靖边气象站为参证气象站。根据气象站的统计数据，全年春季风速较大，冬季风速较小，盛行风向为</w:t>
      </w:r>
      <w:r>
        <w:rPr>
          <w:rFonts w:ascii="仿宋_GB2312" w:hAnsi="仿宋_GB2312" w:eastAsia="仿宋_GB2312" w:cs="Times New Roman"/>
          <w:bCs/>
          <w:sz w:val="30"/>
          <w:szCs w:val="30"/>
        </w:rPr>
        <w:t>W、S。该地区多年平均气温为8.2℃，极端最高气温为36.4℃，极端最低气温为-28.5℃，多年平均风速为2.35m/s，多年平均雷暴天数为25.3d；年平均降水量377mm；多年平均气压为867.9hpa，多年平均湿度为54%，最大冻土深度为113cm。</w:t>
      </w:r>
    </w:p>
    <w:p w14:paraId="4E729DE5">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（二）测风塔代表性及数据分析</w:t>
      </w:r>
    </w:p>
    <w:p w14:paraId="634DF6CD">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1.</w:t>
      </w:r>
      <w:r>
        <w:rPr>
          <w:rFonts w:hint="eastAsia" w:ascii="仿宋_GB2312" w:hAnsi="仿宋_GB2312" w:eastAsia="仿宋_GB2312" w:cs="Times New Roman"/>
          <w:bCs/>
          <w:sz w:val="30"/>
          <w:szCs w:val="30"/>
          <w:lang w:val="en-US" w:eastAsia="zh-CN"/>
        </w:rPr>
        <w:t xml:space="preserve"> </w:t>
      </w:r>
      <w:r>
        <w:rPr>
          <w:rFonts w:ascii="仿宋_GB2312" w:hAnsi="仿宋_GB2312" w:eastAsia="仿宋_GB2312" w:cs="Times New Roman"/>
          <w:bCs/>
          <w:sz w:val="30"/>
          <w:szCs w:val="30"/>
        </w:rPr>
        <w:t>拟选场址位于陕西省榆林市靖边县南部黄土塬上，山地梁峁地形，本阶段设计单位收集到拟选场址范围内及附近的0821#（90m）、0822#（90m）、3813#（90m）测风塔测风数据。</w:t>
      </w:r>
    </w:p>
    <w:p w14:paraId="2A09484C">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综合场址区地形因素，</w:t>
      </w:r>
      <w:r>
        <w:rPr>
          <w:rFonts w:ascii="仿宋_GB2312" w:hAnsi="仿宋_GB2312" w:eastAsia="仿宋_GB2312" w:cs="Times New Roman"/>
          <w:bCs/>
          <w:sz w:val="30"/>
          <w:szCs w:val="30"/>
        </w:rPr>
        <w:t>0821#测风塔对拟选场址南部布机区域具有较好的代表性。3813#测风塔北部场区外约2km，对本期布机区域具有较好的代表性。0822#测风塔位于南部场区外约10km，对本期布机区域代表性一般。</w:t>
      </w:r>
    </w:p>
    <w:p w14:paraId="05453E3F">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2. 0821#测风期12个月（2015年8月1日～2016年7月31日），0822#测风期12个月（2015年8月1日～2016年7月31日），3813#测风期约16个月（2016年12月11日～2018年4月6日）。</w:t>
      </w:r>
    </w:p>
    <w:p w14:paraId="18DDF1A5">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3. 原则同意设计单位采用0821#测风塔插补、订正后2015年8月1日～2016年7月31日</w:t>
      </w:r>
      <w:r>
        <w:rPr>
          <w:rFonts w:hint="eastAsia" w:ascii="仿宋_GB2312" w:hAnsi="仿宋_GB2312" w:eastAsia="仿宋_GB2312" w:cs="Times New Roman"/>
          <w:bCs/>
          <w:sz w:val="30"/>
          <w:szCs w:val="30"/>
        </w:rPr>
        <w:t>以及</w:t>
      </w:r>
      <w:r>
        <w:rPr>
          <w:rFonts w:ascii="仿宋_GB2312" w:hAnsi="仿宋_GB2312" w:eastAsia="仿宋_GB2312" w:cs="Times New Roman"/>
          <w:bCs/>
          <w:sz w:val="30"/>
          <w:szCs w:val="30"/>
        </w:rPr>
        <w:t>3813#测风塔插补、订正后2017年完整年测风数据作为本工程风资源分析和发电量计算的基础数据。</w:t>
      </w:r>
    </w:p>
    <w:p w14:paraId="10943E0A">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原则同意设计单位采用</w:t>
      </w:r>
      <w:r>
        <w:rPr>
          <w:rFonts w:ascii="仿宋_GB2312" w:hAnsi="仿宋_GB2312" w:eastAsia="仿宋_GB2312" w:cs="Times New Roman"/>
          <w:bCs/>
          <w:sz w:val="30"/>
          <w:szCs w:val="30"/>
        </w:rPr>
        <w:t>0822#测风塔插补、订正后2015年8月1日～2016年7月31日测风时段的测风数据作为本工程风资源分析的参考数据。</w:t>
      </w:r>
    </w:p>
    <w:p w14:paraId="18C05B8B">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4. 根据设计单位统计结果，0821#</w:t>
      </w:r>
      <w:r>
        <w:rPr>
          <w:rFonts w:hint="eastAsia" w:ascii="仿宋_GB2312" w:hAnsi="仿宋_GB2312" w:eastAsia="仿宋_GB2312" w:cs="Times New Roman"/>
          <w:bCs/>
          <w:sz w:val="30"/>
          <w:szCs w:val="30"/>
        </w:rPr>
        <w:t>、3</w:t>
      </w:r>
      <w:r>
        <w:rPr>
          <w:rFonts w:ascii="仿宋_GB2312" w:hAnsi="仿宋_GB2312" w:eastAsia="仿宋_GB2312" w:cs="Times New Roman"/>
          <w:bCs/>
          <w:sz w:val="30"/>
          <w:szCs w:val="30"/>
        </w:rPr>
        <w:t>813</w:t>
      </w:r>
      <w:r>
        <w:rPr>
          <w:rFonts w:hint="eastAsia" w:ascii="仿宋_GB2312" w:hAnsi="仿宋_GB2312" w:eastAsia="仿宋_GB2312" w:cs="Times New Roman"/>
          <w:bCs/>
          <w:sz w:val="30"/>
          <w:szCs w:val="30"/>
        </w:rPr>
        <w:t>#</w:t>
      </w:r>
      <w:r>
        <w:rPr>
          <w:rFonts w:ascii="仿宋_GB2312" w:hAnsi="仿宋_GB2312" w:eastAsia="仿宋_GB2312" w:cs="Times New Roman"/>
          <w:bCs/>
          <w:sz w:val="30"/>
          <w:szCs w:val="30"/>
        </w:rPr>
        <w:t>测风塔各高度层有效数据完整率均超过90%，满足规范对于测风数据完整率要求。</w:t>
      </w:r>
    </w:p>
    <w:p w14:paraId="41A141BB">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（三）空气密度</w:t>
      </w:r>
    </w:p>
    <w:p w14:paraId="03B24BB8">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1. 设计单位根据本工程测风塔实测气温、气压推算测风塔处空气密度为1.015kg/m</w:t>
      </w:r>
      <w:r>
        <w:rPr>
          <w:rFonts w:ascii="仿宋_GB2312" w:hAnsi="仿宋_GB2312" w:eastAsia="仿宋_GB2312" w:cs="Times New Roman"/>
          <w:bCs/>
          <w:sz w:val="30"/>
          <w:szCs w:val="30"/>
          <w:vertAlign w:val="superscript"/>
        </w:rPr>
        <w:t>3</w:t>
      </w:r>
      <w:r>
        <w:rPr>
          <w:rFonts w:ascii="仿宋_GB2312" w:hAnsi="仿宋_GB2312" w:eastAsia="仿宋_GB2312" w:cs="Times New Roman"/>
          <w:bCs/>
          <w:sz w:val="30"/>
          <w:szCs w:val="30"/>
        </w:rPr>
        <w:t>。</w:t>
      </w:r>
    </w:p>
    <w:p w14:paraId="6684F700">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2. 设计单位根据测风塔处空气密度推算机位点平均轮毂高度处空气密度为1.01</w:t>
      </w:r>
      <w:r>
        <w:rPr>
          <w:rFonts w:hint="eastAsia" w:ascii="仿宋_GB2312" w:hAnsi="仿宋_GB2312" w:eastAsia="仿宋_GB2312" w:cs="Times New Roman"/>
          <w:bCs/>
          <w:sz w:val="30"/>
          <w:szCs w:val="30"/>
        </w:rPr>
        <w:t>0</w:t>
      </w:r>
      <w:r>
        <w:rPr>
          <w:rFonts w:ascii="仿宋_GB2312" w:hAnsi="仿宋_GB2312" w:eastAsia="仿宋_GB2312" w:cs="Times New Roman"/>
          <w:bCs/>
          <w:sz w:val="30"/>
          <w:szCs w:val="30"/>
        </w:rPr>
        <w:t>kg/m</w:t>
      </w:r>
      <w:r>
        <w:rPr>
          <w:rFonts w:ascii="仿宋_GB2312" w:hAnsi="仿宋_GB2312" w:eastAsia="仿宋_GB2312" w:cs="Times New Roman"/>
          <w:bCs/>
          <w:sz w:val="30"/>
          <w:szCs w:val="30"/>
          <w:vertAlign w:val="superscript"/>
        </w:rPr>
        <w:t>3</w:t>
      </w:r>
      <w:r>
        <w:rPr>
          <w:rFonts w:ascii="仿宋_GB2312" w:hAnsi="仿宋_GB2312" w:eastAsia="仿宋_GB2312" w:cs="Times New Roman"/>
          <w:bCs/>
          <w:sz w:val="30"/>
          <w:szCs w:val="30"/>
        </w:rPr>
        <w:t>。</w:t>
      </w:r>
    </w:p>
    <w:p w14:paraId="2ED78835">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3. 原则同意本阶段按照1.01</w:t>
      </w:r>
      <w:r>
        <w:rPr>
          <w:rFonts w:hint="eastAsia" w:ascii="仿宋_GB2312" w:hAnsi="仿宋_GB2312" w:eastAsia="仿宋_GB2312" w:cs="Times New Roman"/>
          <w:bCs/>
          <w:sz w:val="30"/>
          <w:szCs w:val="30"/>
        </w:rPr>
        <w:t>0</w:t>
      </w:r>
      <w:r>
        <w:rPr>
          <w:rFonts w:ascii="仿宋_GB2312" w:hAnsi="仿宋_GB2312" w:eastAsia="仿宋_GB2312" w:cs="Times New Roman"/>
          <w:bCs/>
          <w:sz w:val="30"/>
          <w:szCs w:val="30"/>
        </w:rPr>
        <w:t>kg/m</w:t>
      </w:r>
      <w:r>
        <w:rPr>
          <w:rFonts w:ascii="仿宋_GB2312" w:hAnsi="仿宋_GB2312" w:eastAsia="仿宋_GB2312" w:cs="Times New Roman"/>
          <w:bCs/>
          <w:sz w:val="30"/>
          <w:szCs w:val="30"/>
          <w:vertAlign w:val="superscript"/>
        </w:rPr>
        <w:t>3</w:t>
      </w:r>
      <w:r>
        <w:rPr>
          <w:rFonts w:ascii="仿宋_GB2312" w:hAnsi="仿宋_GB2312" w:eastAsia="仿宋_GB2312" w:cs="Times New Roman"/>
          <w:bCs/>
          <w:sz w:val="30"/>
          <w:szCs w:val="30"/>
        </w:rPr>
        <w:t>考虑场址区空气密度。</w:t>
      </w:r>
    </w:p>
    <w:p w14:paraId="6D007999">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（四）</w:t>
      </w:r>
      <w:r>
        <w:rPr>
          <w:rFonts w:ascii="仿宋_GB2312" w:hAnsi="仿宋_GB2312" w:eastAsia="仿宋_GB2312" w:cs="Times New Roman"/>
          <w:bCs/>
          <w:sz w:val="30"/>
          <w:szCs w:val="30"/>
        </w:rPr>
        <w:t>IEC等级判定</w:t>
      </w:r>
    </w:p>
    <w:p w14:paraId="31F32C95">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1. 湍流强度</w:t>
      </w:r>
    </w:p>
    <w:p w14:paraId="6E45D96B">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w:t>
      </w:r>
      <w:r>
        <w:rPr>
          <w:rFonts w:ascii="仿宋_GB2312" w:hAnsi="仿宋_GB2312" w:eastAsia="仿宋_GB2312" w:cs="Times New Roman"/>
          <w:bCs/>
          <w:sz w:val="30"/>
          <w:szCs w:val="30"/>
        </w:rPr>
        <w:t>1）同意设计单位关于湍流强度统计计算方法。本工程0821#测风塔90m高度15m/s风速段平均湍流强度为0.115</w:t>
      </w:r>
      <w:r>
        <w:rPr>
          <w:rFonts w:hint="eastAsia" w:ascii="仿宋_GB2312" w:hAnsi="仿宋_GB2312" w:eastAsia="仿宋_GB2312" w:cs="Times New Roman"/>
          <w:bCs/>
          <w:sz w:val="30"/>
          <w:szCs w:val="30"/>
        </w:rPr>
        <w:t>，</w:t>
      </w:r>
      <w:r>
        <w:rPr>
          <w:rFonts w:ascii="仿宋_GB2312" w:hAnsi="仿宋_GB2312" w:eastAsia="仿宋_GB2312" w:cs="Times New Roman"/>
          <w:bCs/>
          <w:sz w:val="30"/>
          <w:szCs w:val="30"/>
        </w:rPr>
        <w:t>3813#测风塔90m高度15m/s风速段平均湍流强度为0.137。</w:t>
      </w:r>
    </w:p>
    <w:p w14:paraId="7C679750">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w:t>
      </w:r>
      <w:r>
        <w:rPr>
          <w:rFonts w:ascii="仿宋_GB2312" w:hAnsi="仿宋_GB2312" w:eastAsia="仿宋_GB2312" w:cs="Times New Roman"/>
          <w:bCs/>
          <w:sz w:val="30"/>
          <w:szCs w:val="30"/>
        </w:rPr>
        <w:t>2）设计单位采用CFD软件模拟计算各机位点轮毂高度处15m/s风速段平均湍流强度范围为0.110～0.171</w:t>
      </w:r>
      <w:r>
        <w:rPr>
          <w:rFonts w:hint="eastAsia" w:ascii="仿宋_GB2312" w:hAnsi="仿宋_GB2312" w:eastAsia="仿宋_GB2312" w:cs="Times New Roman"/>
          <w:bCs/>
          <w:sz w:val="30"/>
          <w:szCs w:val="30"/>
        </w:rPr>
        <w:t>，特征</w:t>
      </w:r>
      <w:r>
        <w:rPr>
          <w:rFonts w:ascii="仿宋_GB2312" w:hAnsi="仿宋_GB2312" w:eastAsia="仿宋_GB2312" w:cs="Times New Roman"/>
          <w:bCs/>
          <w:sz w:val="30"/>
          <w:szCs w:val="30"/>
        </w:rPr>
        <w:t>湍流强度范围为</w:t>
      </w:r>
      <w:r>
        <w:rPr>
          <w:rFonts w:hint="eastAsia" w:ascii="仿宋_GB2312" w:hAnsi="仿宋_GB2312" w:eastAsia="仿宋_GB2312" w:cs="Times New Roman"/>
          <w:bCs/>
          <w:sz w:val="30"/>
          <w:szCs w:val="30"/>
        </w:rPr>
        <w:t>0.</w:t>
      </w:r>
      <w:r>
        <w:rPr>
          <w:rFonts w:ascii="仿宋_GB2312" w:hAnsi="仿宋_GB2312" w:eastAsia="仿宋_GB2312" w:cs="Times New Roman"/>
          <w:bCs/>
          <w:sz w:val="30"/>
          <w:szCs w:val="30"/>
        </w:rPr>
        <w:t>137～</w:t>
      </w:r>
      <w:r>
        <w:rPr>
          <w:rFonts w:hint="eastAsia" w:ascii="仿宋_GB2312" w:hAnsi="仿宋_GB2312" w:eastAsia="仿宋_GB2312" w:cs="Times New Roman"/>
          <w:bCs/>
          <w:sz w:val="30"/>
          <w:szCs w:val="30"/>
        </w:rPr>
        <w:t>0.</w:t>
      </w:r>
      <w:r>
        <w:rPr>
          <w:rFonts w:ascii="仿宋_GB2312" w:hAnsi="仿宋_GB2312" w:eastAsia="仿宋_GB2312" w:cs="Times New Roman"/>
          <w:bCs/>
          <w:sz w:val="30"/>
          <w:szCs w:val="30"/>
        </w:rPr>
        <w:t>231</w:t>
      </w:r>
      <w:r>
        <w:rPr>
          <w:rFonts w:hint="eastAsia" w:ascii="仿宋_GB2312" w:hAnsi="仿宋_GB2312" w:eastAsia="仿宋_GB2312" w:cs="Times New Roman"/>
          <w:bCs/>
          <w:sz w:val="30"/>
          <w:szCs w:val="30"/>
        </w:rPr>
        <w:t>，代表湍流强度范围为0.</w:t>
      </w:r>
      <w:r>
        <w:rPr>
          <w:rFonts w:ascii="仿宋_GB2312" w:hAnsi="仿宋_GB2312" w:eastAsia="仿宋_GB2312" w:cs="Times New Roman"/>
          <w:bCs/>
          <w:sz w:val="30"/>
          <w:szCs w:val="30"/>
        </w:rPr>
        <w:t>145～</w:t>
      </w:r>
      <w:r>
        <w:rPr>
          <w:rFonts w:hint="eastAsia" w:ascii="仿宋_GB2312" w:hAnsi="仿宋_GB2312" w:eastAsia="仿宋_GB2312" w:cs="Times New Roman"/>
          <w:bCs/>
          <w:sz w:val="30"/>
          <w:szCs w:val="30"/>
        </w:rPr>
        <w:t>0.</w:t>
      </w:r>
      <w:r>
        <w:rPr>
          <w:rFonts w:ascii="仿宋_GB2312" w:hAnsi="仿宋_GB2312" w:eastAsia="仿宋_GB2312" w:cs="Times New Roman"/>
          <w:bCs/>
          <w:sz w:val="30"/>
          <w:szCs w:val="30"/>
        </w:rPr>
        <w:t>248。本工程湍流强度包含</w:t>
      </w:r>
      <w:r>
        <w:rPr>
          <w:rFonts w:hint="eastAsia" w:ascii="仿宋_GB2312" w:hAnsi="仿宋_GB2312" w:eastAsia="仿宋_GB2312" w:cs="Times New Roman"/>
          <w:bCs/>
          <w:sz w:val="30"/>
          <w:szCs w:val="30"/>
        </w:rPr>
        <w:t>超A、</w:t>
      </w:r>
      <w:r>
        <w:rPr>
          <w:rFonts w:ascii="仿宋_GB2312" w:hAnsi="仿宋_GB2312" w:eastAsia="仿宋_GB2312" w:cs="Times New Roman"/>
          <w:bCs/>
          <w:sz w:val="30"/>
          <w:szCs w:val="30"/>
        </w:rPr>
        <w:t>A、B、C类安全等级。</w:t>
      </w:r>
    </w:p>
    <w:p w14:paraId="5EF26074">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2. 同意设计单位关于50年一遇最大风速的计算方法。根据设计单位计算结果，风电场90m高度标准空气密度下50年一遇最大风速为37.0m/s，属于IEC Ⅲ类风场。</w:t>
      </w:r>
    </w:p>
    <w:p w14:paraId="5BE56F16">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3. 风切变</w:t>
      </w:r>
    </w:p>
    <w:p w14:paraId="153AAD0E">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同意设计单位风切变计算方法。根据设计单位统计计算结果，</w:t>
      </w:r>
      <w:r>
        <w:rPr>
          <w:rFonts w:ascii="仿宋_GB2312" w:hAnsi="仿宋_GB2312" w:eastAsia="仿宋_GB2312" w:cs="Times New Roman"/>
          <w:bCs/>
          <w:sz w:val="30"/>
          <w:szCs w:val="30"/>
        </w:rPr>
        <w:t>0821#测风塔综合风切变指数为0.0758</w:t>
      </w:r>
      <w:r>
        <w:rPr>
          <w:rFonts w:hint="eastAsia" w:ascii="仿宋_GB2312" w:hAnsi="仿宋_GB2312" w:eastAsia="仿宋_GB2312" w:cs="Times New Roman"/>
          <w:bCs/>
          <w:sz w:val="30"/>
          <w:szCs w:val="30"/>
        </w:rPr>
        <w:t>，3</w:t>
      </w:r>
      <w:r>
        <w:rPr>
          <w:rFonts w:ascii="仿宋_GB2312" w:hAnsi="仿宋_GB2312" w:eastAsia="仿宋_GB2312" w:cs="Times New Roman"/>
          <w:bCs/>
          <w:sz w:val="30"/>
          <w:szCs w:val="30"/>
        </w:rPr>
        <w:t>813</w:t>
      </w:r>
      <w:r>
        <w:rPr>
          <w:rFonts w:hint="eastAsia" w:ascii="仿宋_GB2312" w:hAnsi="仿宋_GB2312" w:eastAsia="仿宋_GB2312" w:cs="Times New Roman"/>
          <w:bCs/>
          <w:sz w:val="30"/>
          <w:szCs w:val="30"/>
        </w:rPr>
        <w:t>#测风塔综合风切变指数为0.</w:t>
      </w:r>
      <w:r>
        <w:rPr>
          <w:rFonts w:ascii="仿宋_GB2312" w:hAnsi="仿宋_GB2312" w:eastAsia="仿宋_GB2312" w:cs="Times New Roman"/>
          <w:bCs/>
          <w:sz w:val="30"/>
          <w:szCs w:val="30"/>
        </w:rPr>
        <w:t>1577</w:t>
      </w:r>
      <w:r>
        <w:rPr>
          <w:rFonts w:hint="eastAsia" w:ascii="仿宋_GB2312" w:hAnsi="仿宋_GB2312" w:eastAsia="仿宋_GB2312" w:cs="Times New Roman"/>
          <w:bCs/>
          <w:sz w:val="30"/>
          <w:szCs w:val="30"/>
        </w:rPr>
        <w:t>。</w:t>
      </w:r>
    </w:p>
    <w:p w14:paraId="66E665C2">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（五）代表年订正</w:t>
      </w:r>
    </w:p>
    <w:p w14:paraId="73AB0545">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1. 同意本阶段采用中尺度数据对场址区测风塔进行代表年订正。根据统计结果，0821#测风塔完整年数据与中尺度数据处于平风年水平。3813#测风塔完整年数据与中尺度数据处于</w:t>
      </w:r>
      <w:r>
        <w:rPr>
          <w:rFonts w:hint="eastAsia" w:ascii="仿宋_GB2312" w:hAnsi="仿宋_GB2312" w:eastAsia="仿宋_GB2312" w:cs="Times New Roman"/>
          <w:bCs/>
          <w:sz w:val="30"/>
          <w:szCs w:val="30"/>
        </w:rPr>
        <w:t>小</w:t>
      </w:r>
      <w:r>
        <w:rPr>
          <w:rFonts w:ascii="仿宋_GB2312" w:hAnsi="仿宋_GB2312" w:eastAsia="仿宋_GB2312" w:cs="Times New Roman"/>
          <w:bCs/>
          <w:sz w:val="30"/>
          <w:szCs w:val="30"/>
        </w:rPr>
        <w:t>风年水平。</w:t>
      </w:r>
    </w:p>
    <w:p w14:paraId="36DC3916">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2.</w:t>
      </w:r>
      <w:r>
        <w:rPr>
          <w:rFonts w:hint="eastAsia" w:ascii="仿宋_GB2312" w:hAnsi="仿宋_GB2312" w:eastAsia="仿宋_GB2312" w:cs="Times New Roman"/>
          <w:bCs/>
          <w:sz w:val="30"/>
          <w:szCs w:val="30"/>
          <w:lang w:val="en-US" w:eastAsia="zh-CN"/>
        </w:rPr>
        <w:t xml:space="preserve"> </w:t>
      </w:r>
      <w:r>
        <w:rPr>
          <w:rFonts w:ascii="仿宋_GB2312" w:hAnsi="仿宋_GB2312" w:eastAsia="仿宋_GB2312" w:cs="Times New Roman"/>
          <w:bCs/>
          <w:sz w:val="30"/>
          <w:szCs w:val="30"/>
        </w:rPr>
        <w:t xml:space="preserve"> 0821#测风塔90m高度观测年平均风速为6.32m/s，年平均风功率密度为218.3W/m</w:t>
      </w:r>
      <w:r>
        <w:rPr>
          <w:rFonts w:ascii="仿宋_GB2312" w:hAnsi="仿宋_GB2312" w:eastAsia="仿宋_GB2312" w:cs="Times New Roman"/>
          <w:bCs/>
          <w:sz w:val="30"/>
          <w:szCs w:val="30"/>
          <w:vertAlign w:val="superscript"/>
        </w:rPr>
        <w:t>2</w:t>
      </w:r>
      <w:r>
        <w:rPr>
          <w:rFonts w:ascii="仿宋_GB2312" w:hAnsi="仿宋_GB2312" w:eastAsia="仿宋_GB2312" w:cs="Times New Roman"/>
          <w:bCs/>
          <w:sz w:val="30"/>
          <w:szCs w:val="30"/>
        </w:rPr>
        <w:t>。3813#测风塔90m高度</w:t>
      </w:r>
      <w:r>
        <w:rPr>
          <w:rFonts w:hint="eastAsia" w:ascii="仿宋_GB2312" w:hAnsi="仿宋_GB2312" w:eastAsia="仿宋_GB2312" w:cs="Times New Roman"/>
          <w:bCs/>
          <w:sz w:val="30"/>
          <w:szCs w:val="30"/>
        </w:rPr>
        <w:t>代表</w:t>
      </w:r>
      <w:r>
        <w:rPr>
          <w:rFonts w:ascii="仿宋_GB2312" w:hAnsi="仿宋_GB2312" w:eastAsia="仿宋_GB2312" w:cs="Times New Roman"/>
          <w:bCs/>
          <w:sz w:val="30"/>
          <w:szCs w:val="30"/>
        </w:rPr>
        <w:t>年平均风速为5</w:t>
      </w:r>
      <w:r>
        <w:rPr>
          <w:rFonts w:hint="eastAsia" w:ascii="仿宋_GB2312" w:hAnsi="仿宋_GB2312" w:eastAsia="仿宋_GB2312" w:cs="Times New Roman"/>
          <w:bCs/>
          <w:sz w:val="30"/>
          <w:szCs w:val="30"/>
        </w:rPr>
        <w:t>.</w:t>
      </w:r>
      <w:r>
        <w:rPr>
          <w:rFonts w:ascii="仿宋_GB2312" w:hAnsi="仿宋_GB2312" w:eastAsia="仿宋_GB2312" w:cs="Times New Roman"/>
          <w:bCs/>
          <w:sz w:val="30"/>
          <w:szCs w:val="30"/>
        </w:rPr>
        <w:t>49m/s，年平均风功率密度为142</w:t>
      </w:r>
      <w:r>
        <w:rPr>
          <w:rFonts w:hint="eastAsia" w:ascii="仿宋_GB2312" w:hAnsi="仿宋_GB2312" w:eastAsia="仿宋_GB2312" w:cs="Times New Roman"/>
          <w:bCs/>
          <w:sz w:val="30"/>
          <w:szCs w:val="30"/>
        </w:rPr>
        <w:t>.</w:t>
      </w:r>
      <w:r>
        <w:rPr>
          <w:rFonts w:ascii="仿宋_GB2312" w:hAnsi="仿宋_GB2312" w:eastAsia="仿宋_GB2312" w:cs="Times New Roman"/>
          <w:bCs/>
          <w:sz w:val="30"/>
          <w:szCs w:val="30"/>
        </w:rPr>
        <w:t>8W/m</w:t>
      </w:r>
      <w:r>
        <w:rPr>
          <w:rFonts w:ascii="仿宋_GB2312" w:hAnsi="仿宋_GB2312" w:eastAsia="仿宋_GB2312" w:cs="Times New Roman"/>
          <w:bCs/>
          <w:sz w:val="30"/>
          <w:szCs w:val="30"/>
          <w:vertAlign w:val="superscript"/>
        </w:rPr>
        <w:t>2</w:t>
      </w:r>
      <w:r>
        <w:rPr>
          <w:rFonts w:ascii="仿宋_GB2312" w:hAnsi="仿宋_GB2312" w:eastAsia="仿宋_GB2312" w:cs="Times New Roman"/>
          <w:bCs/>
          <w:sz w:val="30"/>
          <w:szCs w:val="30"/>
        </w:rPr>
        <w:t>。</w:t>
      </w:r>
    </w:p>
    <w:p w14:paraId="2484D314">
      <w:pPr>
        <w:autoSpaceDE w:val="0"/>
        <w:autoSpaceDN w:val="0"/>
        <w:adjustRightInd w:val="0"/>
        <w:snapToGrid w:val="0"/>
        <w:spacing w:beforeLines="0" w:afterLines="0"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3. 根据NB/T18710-2002《风电场风能资源评估方法》的评判标准，本工程风电场风功率密度等级为1级。</w:t>
      </w:r>
    </w:p>
    <w:p w14:paraId="4B61DC8E">
      <w:pPr>
        <w:pStyle w:val="2"/>
        <w:keepNext/>
        <w:keepLines/>
        <w:adjustRightInd w:val="0"/>
        <w:spacing w:beforeLines="0" w:afterLines="0"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五、风电机组选型及发电量计算</w:t>
      </w:r>
    </w:p>
    <w:p w14:paraId="14D4AED7">
      <w:pPr>
        <w:widowControl/>
        <w:adjustRightInd w:val="0"/>
        <w:snapToGrid w:val="0"/>
        <w:spacing w:beforeLines="0" w:afterLines="0" w:line="560" w:lineRule="exact"/>
        <w:ind w:firstLine="600" w:firstLineChars="200"/>
        <w:jc w:val="left"/>
        <w:rPr>
          <w:rFonts w:ascii="仿宋_GB2312" w:hAnsi="Times New Roman" w:eastAsia="仿宋_GB2312" w:cs="Times New Roman"/>
          <w:bCs/>
          <w:sz w:val="30"/>
          <w:szCs w:val="30"/>
        </w:rPr>
      </w:pPr>
      <w:r>
        <w:rPr>
          <w:rFonts w:hint="eastAsia" w:ascii="仿宋_GB2312" w:hAnsi="Times New Roman" w:eastAsia="仿宋_GB2312" w:cs="Times New Roman"/>
          <w:bCs/>
          <w:sz w:val="30"/>
          <w:szCs w:val="30"/>
        </w:rPr>
        <w:t>（一）风电机组选型</w:t>
      </w:r>
    </w:p>
    <w:p w14:paraId="56B11BCA">
      <w:pPr>
        <w:widowControl/>
        <w:adjustRightInd w:val="0"/>
        <w:snapToGrid w:val="0"/>
        <w:spacing w:beforeLines="0" w:afterLines="0" w:line="560" w:lineRule="exact"/>
        <w:ind w:firstLine="600" w:firstLineChars="200"/>
        <w:jc w:val="left"/>
        <w:rPr>
          <w:rFonts w:ascii="仿宋_GB2312" w:hAnsi="Times New Roman" w:eastAsia="仿宋_GB2312" w:cs="Times New Roman"/>
          <w:bCs/>
          <w:sz w:val="30"/>
          <w:szCs w:val="30"/>
        </w:rPr>
      </w:pPr>
      <w:r>
        <w:rPr>
          <w:rFonts w:hint="eastAsia" w:ascii="仿宋_GB2312" w:hAnsi="Times New Roman" w:eastAsia="仿宋_GB2312" w:cs="Times New Roman"/>
          <w:bCs/>
          <w:sz w:val="30"/>
          <w:szCs w:val="30"/>
        </w:rPr>
        <w:t>1. 根据风能资源评价结论，本工程适合选择IEC Ⅲ A及以上安全等级的风电机组，或考虑混合布置的方式。</w:t>
      </w:r>
    </w:p>
    <w:p w14:paraId="3136432B">
      <w:pPr>
        <w:widowControl/>
        <w:adjustRightInd w:val="0"/>
        <w:snapToGrid w:val="0"/>
        <w:spacing w:beforeLines="0" w:afterLines="0" w:line="560" w:lineRule="exact"/>
        <w:ind w:firstLine="600" w:firstLineChars="200"/>
        <w:rPr>
          <w:rFonts w:ascii="仿宋_GB2312" w:hAnsi="Times New Roman" w:eastAsia="仿宋_GB2312" w:cs="Times New Roman"/>
          <w:bCs/>
          <w:sz w:val="30"/>
          <w:szCs w:val="30"/>
        </w:rPr>
      </w:pPr>
      <w:r>
        <w:rPr>
          <w:rFonts w:hint="eastAsia" w:ascii="仿宋_GB2312" w:hAnsi="Times New Roman" w:eastAsia="仿宋_GB2312" w:cs="Times New Roman"/>
          <w:bCs/>
          <w:sz w:val="30"/>
          <w:szCs w:val="30"/>
        </w:rPr>
        <w:t>2. 本阶段设计单位比选了6种不同单机容量（2000kW</w:t>
      </w:r>
      <w:r>
        <w:rPr>
          <w:rFonts w:hint="eastAsia" w:ascii="仿宋" w:hAnsi="仿宋" w:eastAsia="仿宋" w:cs="仿宋"/>
          <w:bCs/>
          <w:sz w:val="30"/>
          <w:szCs w:val="30"/>
        </w:rPr>
        <w:t>～</w:t>
      </w:r>
      <w:r>
        <w:rPr>
          <w:rFonts w:hint="eastAsia" w:ascii="仿宋_GB2312" w:hAnsi="Times New Roman" w:eastAsia="仿宋_GB2312" w:cs="Times New Roman"/>
          <w:bCs/>
          <w:sz w:val="30"/>
          <w:szCs w:val="30"/>
        </w:rPr>
        <w:t>3000kW）的风电机组。</w:t>
      </w:r>
    </w:p>
    <w:p w14:paraId="73FD72D4">
      <w:pPr>
        <w:widowControl/>
        <w:adjustRightInd w:val="0"/>
        <w:snapToGrid w:val="0"/>
        <w:spacing w:beforeLines="0" w:afterLines="0" w:line="560" w:lineRule="exact"/>
        <w:ind w:firstLine="600" w:firstLineChars="200"/>
        <w:jc w:val="left"/>
        <w:rPr>
          <w:rFonts w:ascii="仿宋_GB2312" w:hAnsi="Times New Roman" w:eastAsia="仿宋_GB2312" w:cs="Times New Roman"/>
          <w:bCs/>
          <w:sz w:val="30"/>
          <w:szCs w:val="30"/>
        </w:rPr>
      </w:pPr>
      <w:r>
        <w:rPr>
          <w:rFonts w:hint="eastAsia" w:ascii="仿宋_GB2312" w:hAnsi="Times New Roman" w:eastAsia="仿宋_GB2312" w:cs="Times New Roman"/>
          <w:bCs/>
          <w:sz w:val="30"/>
          <w:szCs w:val="30"/>
        </w:rPr>
        <w:t>3. 设计单位通过技术经济比较，本阶段推荐安装17台单机容量3000kW，叶轮直径145m，轮毂高度90m的风电机组，安全等级为IEC Ⅲ B。</w:t>
      </w:r>
    </w:p>
    <w:p w14:paraId="04F10040">
      <w:pPr>
        <w:widowControl/>
        <w:adjustRightInd w:val="0"/>
        <w:snapToGrid w:val="0"/>
        <w:spacing w:beforeLines="0" w:afterLines="0" w:line="560" w:lineRule="exact"/>
        <w:ind w:firstLine="600" w:firstLineChars="200"/>
        <w:jc w:val="left"/>
        <w:rPr>
          <w:rFonts w:ascii="仿宋_GB2312" w:hAnsi="Times New Roman" w:eastAsia="仿宋_GB2312" w:cs="Times New Roman"/>
          <w:bCs/>
          <w:sz w:val="30"/>
          <w:szCs w:val="30"/>
        </w:rPr>
      </w:pPr>
      <w:r>
        <w:rPr>
          <w:rFonts w:hint="eastAsia" w:ascii="仿宋_GB2312" w:hAnsi="Times New Roman" w:eastAsia="仿宋_GB2312" w:cs="Times New Roman"/>
          <w:bCs/>
          <w:sz w:val="30"/>
          <w:szCs w:val="30"/>
        </w:rPr>
        <w:t>4. 本阶段设计单位推荐的风电机组选型结果不满足风能资源评价结论。建议下一阶段根据中标的风机型号安全设计等级，进一步复核本工程风电机组安全性。</w:t>
      </w:r>
    </w:p>
    <w:p w14:paraId="2CEAC082">
      <w:pPr>
        <w:widowControl/>
        <w:adjustRightInd w:val="0"/>
        <w:snapToGrid w:val="0"/>
        <w:spacing w:beforeLines="0" w:afterLines="0" w:line="560" w:lineRule="exact"/>
        <w:ind w:firstLine="600" w:firstLineChars="200"/>
        <w:jc w:val="left"/>
        <w:rPr>
          <w:rFonts w:ascii="仿宋_GB2312" w:hAnsi="Times New Roman" w:eastAsia="仿宋_GB2312" w:cs="Times New Roman"/>
          <w:bCs/>
          <w:sz w:val="30"/>
          <w:szCs w:val="30"/>
        </w:rPr>
      </w:pPr>
      <w:r>
        <w:rPr>
          <w:rFonts w:hint="eastAsia" w:ascii="仿宋_GB2312" w:hAnsi="Times New Roman" w:eastAsia="仿宋_GB2312" w:cs="Times New Roman"/>
          <w:bCs/>
          <w:sz w:val="30"/>
          <w:szCs w:val="30"/>
        </w:rPr>
        <w:t>（二）风电机组布置</w:t>
      </w:r>
    </w:p>
    <w:p w14:paraId="17618AC8">
      <w:pPr>
        <w:widowControl/>
        <w:adjustRightInd w:val="0"/>
        <w:snapToGrid w:val="0"/>
        <w:spacing w:beforeLines="0" w:afterLines="0" w:line="560" w:lineRule="exact"/>
        <w:ind w:firstLine="600" w:firstLineChars="200"/>
        <w:jc w:val="left"/>
        <w:rPr>
          <w:rFonts w:ascii="仿宋_GB2312" w:hAnsi="Times New Roman" w:eastAsia="仿宋_GB2312" w:cs="Times New Roman"/>
          <w:bCs/>
          <w:sz w:val="30"/>
          <w:szCs w:val="30"/>
        </w:rPr>
      </w:pPr>
      <w:r>
        <w:rPr>
          <w:rFonts w:hint="eastAsia" w:ascii="仿宋_GB2312" w:hAnsi="Times New Roman" w:eastAsia="仿宋_GB2312" w:cs="Times New Roman"/>
          <w:bCs/>
          <w:sz w:val="30"/>
          <w:szCs w:val="30"/>
        </w:rPr>
        <w:t>1. 根据GB/T51096-2015《风力发电场设计规范》，原则同意设计单位对于风电机组的布置原则及布置方案。</w:t>
      </w:r>
    </w:p>
    <w:p w14:paraId="5FA91AF3">
      <w:pPr>
        <w:widowControl/>
        <w:adjustRightInd w:val="0"/>
        <w:snapToGrid w:val="0"/>
        <w:spacing w:beforeLines="0" w:afterLines="0" w:line="560" w:lineRule="exact"/>
        <w:ind w:firstLine="600" w:firstLineChars="200"/>
        <w:jc w:val="left"/>
        <w:rPr>
          <w:rFonts w:ascii="仿宋_GB2312" w:hAnsi="Times New Roman" w:eastAsia="仿宋_GB2312" w:cs="Times New Roman"/>
          <w:bCs/>
          <w:sz w:val="30"/>
          <w:szCs w:val="30"/>
        </w:rPr>
      </w:pPr>
      <w:r>
        <w:rPr>
          <w:rFonts w:hint="eastAsia" w:ascii="仿宋_GB2312" w:hAnsi="Times New Roman" w:eastAsia="仿宋_GB2312" w:cs="Times New Roman"/>
          <w:bCs/>
          <w:sz w:val="30"/>
          <w:szCs w:val="30"/>
        </w:rPr>
        <w:t>2. 本工程场址范围附近涉及秦长城遗址，根据榆林市文物局文件（榆政文物函[2016]19号），本工程原方案25台风电机组及升压站建设用地范围内未发现文物遗存，与遗址最近距离为950m。本阶段设计单位风机布置新方案避让距离按1km考虑。请项目公司下一阶段根据确定的工程设计方案，配合当地文物管理部门做好开工前的相关工作。</w:t>
      </w:r>
    </w:p>
    <w:p w14:paraId="5B5228C6">
      <w:pPr>
        <w:widowControl/>
        <w:adjustRightInd w:val="0"/>
        <w:snapToGrid w:val="0"/>
        <w:spacing w:beforeLines="0" w:afterLines="0" w:line="560" w:lineRule="exact"/>
        <w:ind w:firstLine="600" w:firstLineChars="200"/>
        <w:jc w:val="left"/>
        <w:rPr>
          <w:rFonts w:ascii="仿宋_GB2312" w:hAnsi="Times New Roman" w:eastAsia="仿宋_GB2312" w:cs="Times New Roman"/>
          <w:bCs/>
          <w:sz w:val="30"/>
          <w:szCs w:val="30"/>
        </w:rPr>
      </w:pPr>
      <w:r>
        <w:rPr>
          <w:rFonts w:hint="eastAsia" w:ascii="仿宋_GB2312" w:hAnsi="Times New Roman" w:eastAsia="仿宋_GB2312" w:cs="Times New Roman"/>
          <w:bCs/>
          <w:sz w:val="30"/>
          <w:szCs w:val="30"/>
        </w:rPr>
        <w:t>3. 本工程场址范围内及附近涉及油井，布置方案中风机机组已考虑避让村庄300m以上，建议项目公司下一阶段落实当地油田开采管理部门关于避让距离的要求，并落实油田开采情况对风电机组安全性的影响。</w:t>
      </w:r>
    </w:p>
    <w:p w14:paraId="51119184">
      <w:pPr>
        <w:widowControl/>
        <w:adjustRightInd w:val="0"/>
        <w:snapToGrid w:val="0"/>
        <w:spacing w:beforeLines="0" w:afterLines="0" w:line="560" w:lineRule="exact"/>
        <w:ind w:firstLine="600" w:firstLineChars="200"/>
        <w:jc w:val="left"/>
        <w:rPr>
          <w:rFonts w:ascii="仿宋_GB2312" w:hAnsi="Times New Roman" w:eastAsia="仿宋_GB2312" w:cs="Times New Roman"/>
          <w:bCs/>
          <w:color w:val="FF0000"/>
          <w:sz w:val="30"/>
          <w:szCs w:val="30"/>
        </w:rPr>
      </w:pPr>
      <w:r>
        <w:rPr>
          <w:rFonts w:hint="eastAsia" w:ascii="仿宋_GB2312" w:hAnsi="Times New Roman" w:eastAsia="仿宋_GB2312" w:cs="Times New Roman"/>
          <w:bCs/>
          <w:sz w:val="30"/>
          <w:szCs w:val="30"/>
        </w:rPr>
        <w:t>（三）发电量计算</w:t>
      </w:r>
    </w:p>
    <w:p w14:paraId="2EAF5820">
      <w:pPr>
        <w:widowControl/>
        <w:adjustRightInd w:val="0"/>
        <w:snapToGrid w:val="0"/>
        <w:spacing w:beforeLines="0" w:afterLines="0" w:line="560" w:lineRule="exact"/>
        <w:ind w:firstLine="600" w:firstLineChars="200"/>
        <w:jc w:val="left"/>
        <w:rPr>
          <w:rFonts w:ascii="仿宋_GB2312" w:hAnsi="Times New Roman" w:eastAsia="仿宋_GB2312" w:cs="Times New Roman"/>
          <w:bCs/>
          <w:sz w:val="30"/>
          <w:szCs w:val="30"/>
        </w:rPr>
      </w:pPr>
      <w:r>
        <w:rPr>
          <w:rFonts w:hint="eastAsia" w:ascii="仿宋_GB2312" w:hAnsi="Times New Roman" w:eastAsia="仿宋_GB2312" w:cs="Times New Roman"/>
          <w:bCs/>
          <w:sz w:val="30"/>
          <w:szCs w:val="30"/>
        </w:rPr>
        <w:t>1. 原则同意采用WindSim软件，按照实际空气密度下的功率曲线，计算本工程理论发电量。</w:t>
      </w:r>
    </w:p>
    <w:p w14:paraId="73566F01">
      <w:pPr>
        <w:widowControl/>
        <w:adjustRightInd w:val="0"/>
        <w:snapToGrid w:val="0"/>
        <w:spacing w:beforeLines="0" w:afterLines="0" w:line="560" w:lineRule="exact"/>
        <w:ind w:firstLine="600" w:firstLineChars="200"/>
        <w:jc w:val="left"/>
        <w:rPr>
          <w:rFonts w:ascii="仿宋_GB2312" w:hAnsi="Times New Roman" w:eastAsia="仿宋_GB2312" w:cs="Times New Roman"/>
          <w:bCs/>
          <w:sz w:val="30"/>
          <w:szCs w:val="30"/>
        </w:rPr>
      </w:pPr>
      <w:r>
        <w:rPr>
          <w:rFonts w:hint="eastAsia" w:ascii="仿宋_GB2312" w:hAnsi="Times New Roman" w:eastAsia="仿宋_GB2312" w:cs="Times New Roman"/>
          <w:bCs/>
          <w:sz w:val="30"/>
          <w:szCs w:val="30"/>
        </w:rPr>
        <w:t>2. 原则同意按照综合折减73.62%（不含尾流折减）计算本工程实际发电量。</w:t>
      </w:r>
    </w:p>
    <w:p w14:paraId="0C97CA26">
      <w:pPr>
        <w:widowControl/>
        <w:adjustRightInd w:val="0"/>
        <w:snapToGrid w:val="0"/>
        <w:spacing w:beforeLines="0" w:afterLines="0" w:line="560" w:lineRule="exact"/>
        <w:ind w:firstLine="600" w:firstLineChars="200"/>
        <w:jc w:val="left"/>
        <w:rPr>
          <w:rFonts w:ascii="仿宋_GB2312" w:hAnsi="Times New Roman" w:eastAsia="仿宋_GB2312" w:cs="Times New Roman"/>
          <w:bCs/>
          <w:sz w:val="30"/>
          <w:szCs w:val="30"/>
        </w:rPr>
      </w:pPr>
      <w:r>
        <w:rPr>
          <w:rFonts w:ascii="仿宋_GB2312" w:hAnsi="Times New Roman" w:eastAsia="仿宋_GB2312" w:cs="Times New Roman"/>
          <w:bCs/>
          <w:sz w:val="30"/>
          <w:szCs w:val="30"/>
        </w:rPr>
        <w:t>3</w:t>
      </w:r>
      <w:r>
        <w:rPr>
          <w:rFonts w:hint="eastAsia" w:ascii="仿宋_GB2312" w:hAnsi="Times New Roman" w:eastAsia="仿宋_GB2312" w:cs="Times New Roman"/>
          <w:bCs/>
          <w:sz w:val="30"/>
          <w:szCs w:val="30"/>
        </w:rPr>
        <w:t>.</w:t>
      </w:r>
      <w:r>
        <w:rPr>
          <w:rFonts w:hint="eastAsia" w:ascii="仿宋_GB2312" w:hAnsi="Times New Roman" w:eastAsia="仿宋_GB2312" w:cs="Times New Roman"/>
          <w:bCs/>
          <w:sz w:val="30"/>
          <w:szCs w:val="30"/>
          <w:lang w:val="en-US" w:eastAsia="zh-CN"/>
        </w:rPr>
        <w:t xml:space="preserve"> </w:t>
      </w:r>
      <w:r>
        <w:rPr>
          <w:rFonts w:hint="eastAsia" w:ascii="仿宋_GB2312" w:hAnsi="Times New Roman" w:eastAsia="仿宋_GB2312" w:cs="Times New Roman"/>
          <w:bCs/>
          <w:sz w:val="30"/>
          <w:szCs w:val="30"/>
        </w:rPr>
        <w:t>本工程风电场受场址区限制，本阶段布置方案无法进一步优化，导致平均尾流达到9.</w:t>
      </w:r>
      <w:r>
        <w:rPr>
          <w:rFonts w:ascii="仿宋_GB2312" w:hAnsi="Times New Roman" w:eastAsia="仿宋_GB2312" w:cs="Times New Roman"/>
          <w:bCs/>
          <w:sz w:val="30"/>
          <w:szCs w:val="30"/>
        </w:rPr>
        <w:t>87</w:t>
      </w:r>
      <w:r>
        <w:rPr>
          <w:rFonts w:hint="eastAsia" w:ascii="仿宋_GB2312" w:hAnsi="Times New Roman" w:eastAsia="仿宋_GB2312" w:cs="Times New Roman"/>
          <w:bCs/>
          <w:sz w:val="30"/>
          <w:szCs w:val="30"/>
        </w:rPr>
        <w:t>%，对发电量影响较大</w:t>
      </w:r>
      <w:r>
        <w:rPr>
          <w:rFonts w:ascii="仿宋_GB2312" w:hAnsi="Times New Roman" w:eastAsia="仿宋_GB2312" w:cs="Times New Roman"/>
          <w:bCs/>
          <w:sz w:val="30"/>
          <w:szCs w:val="30"/>
        </w:rPr>
        <w:t>。</w:t>
      </w:r>
    </w:p>
    <w:p w14:paraId="72CD0D28">
      <w:pPr>
        <w:widowControl/>
        <w:adjustRightInd w:val="0"/>
        <w:snapToGrid w:val="0"/>
        <w:spacing w:beforeLines="0" w:afterLines="0" w:line="560" w:lineRule="exact"/>
        <w:ind w:firstLine="600" w:firstLineChars="200"/>
        <w:jc w:val="left"/>
        <w:rPr>
          <w:rFonts w:ascii="仿宋_GB2312" w:hAnsi="Times New Roman" w:eastAsia="仿宋_GB2312" w:cs="Times New Roman"/>
          <w:bCs/>
          <w:sz w:val="30"/>
          <w:szCs w:val="30"/>
        </w:rPr>
      </w:pPr>
      <w:r>
        <w:rPr>
          <w:rFonts w:ascii="仿宋_GB2312" w:hAnsi="Times New Roman" w:eastAsia="仿宋_GB2312" w:cs="Times New Roman"/>
          <w:bCs/>
          <w:sz w:val="30"/>
          <w:szCs w:val="30"/>
        </w:rPr>
        <w:t>4</w:t>
      </w:r>
      <w:r>
        <w:rPr>
          <w:rFonts w:hint="eastAsia" w:ascii="仿宋_GB2312" w:hAnsi="Times New Roman" w:eastAsia="仿宋_GB2312" w:cs="Times New Roman"/>
          <w:bCs/>
          <w:sz w:val="30"/>
          <w:szCs w:val="30"/>
        </w:rPr>
        <w:t>. 根据设计单位计算，本工程年上网电量10</w:t>
      </w:r>
      <w:r>
        <w:rPr>
          <w:rFonts w:ascii="仿宋_GB2312" w:hAnsi="Times New Roman" w:eastAsia="仿宋_GB2312" w:cs="Times New Roman"/>
          <w:bCs/>
          <w:sz w:val="30"/>
          <w:szCs w:val="30"/>
        </w:rPr>
        <w:t>336</w:t>
      </w:r>
      <w:r>
        <w:rPr>
          <w:rFonts w:hint="eastAsia" w:ascii="仿宋_GB2312" w:hAnsi="Times New Roman" w:eastAsia="仿宋_GB2312" w:cs="Times New Roman"/>
          <w:bCs/>
          <w:sz w:val="30"/>
          <w:szCs w:val="30"/>
        </w:rPr>
        <w:t>.</w:t>
      </w:r>
      <w:r>
        <w:rPr>
          <w:rFonts w:ascii="仿宋_GB2312" w:hAnsi="Times New Roman" w:eastAsia="仿宋_GB2312" w:cs="Times New Roman"/>
          <w:bCs/>
          <w:sz w:val="30"/>
          <w:szCs w:val="30"/>
        </w:rPr>
        <w:t>09</w:t>
      </w:r>
      <w:r>
        <w:rPr>
          <w:rFonts w:hint="eastAsia" w:ascii="仿宋_GB2312" w:hAnsi="Times New Roman" w:eastAsia="仿宋_GB2312" w:cs="Times New Roman"/>
          <w:bCs/>
          <w:sz w:val="30"/>
          <w:szCs w:val="30"/>
        </w:rPr>
        <w:t>万kWh，年平均利用小时数为20</w:t>
      </w:r>
      <w:r>
        <w:rPr>
          <w:rFonts w:ascii="仿宋_GB2312" w:hAnsi="Times New Roman" w:eastAsia="仿宋_GB2312" w:cs="Times New Roman"/>
          <w:bCs/>
          <w:sz w:val="30"/>
          <w:szCs w:val="30"/>
        </w:rPr>
        <w:t>26</w:t>
      </w:r>
      <w:r>
        <w:rPr>
          <w:rFonts w:hint="eastAsia" w:ascii="仿宋_GB2312" w:hAnsi="Times New Roman" w:eastAsia="仿宋_GB2312" w:cs="Times New Roman"/>
          <w:bCs/>
          <w:sz w:val="30"/>
          <w:szCs w:val="30"/>
        </w:rPr>
        <w:t>.</w:t>
      </w:r>
      <w:r>
        <w:rPr>
          <w:rFonts w:ascii="仿宋_GB2312" w:hAnsi="Times New Roman" w:eastAsia="仿宋_GB2312" w:cs="Times New Roman"/>
          <w:bCs/>
          <w:sz w:val="30"/>
          <w:szCs w:val="30"/>
        </w:rPr>
        <w:t>68</w:t>
      </w:r>
      <w:r>
        <w:rPr>
          <w:rFonts w:hint="eastAsia" w:ascii="仿宋_GB2312" w:hAnsi="Times New Roman" w:eastAsia="仿宋_GB2312" w:cs="Times New Roman"/>
          <w:bCs/>
          <w:sz w:val="30"/>
          <w:szCs w:val="30"/>
        </w:rPr>
        <w:t>h，容量系数0.2</w:t>
      </w:r>
      <w:r>
        <w:rPr>
          <w:rFonts w:ascii="仿宋_GB2312" w:hAnsi="Times New Roman" w:eastAsia="仿宋_GB2312" w:cs="Times New Roman"/>
          <w:bCs/>
          <w:sz w:val="30"/>
          <w:szCs w:val="30"/>
        </w:rPr>
        <w:t>3</w:t>
      </w:r>
      <w:r>
        <w:rPr>
          <w:rFonts w:hint="eastAsia" w:ascii="仿宋_GB2312" w:hAnsi="Times New Roman" w:eastAsia="仿宋_GB2312" w:cs="Times New Roman"/>
          <w:bCs/>
          <w:sz w:val="30"/>
          <w:szCs w:val="30"/>
        </w:rPr>
        <w:t>。</w:t>
      </w:r>
    </w:p>
    <w:p w14:paraId="2C7F3183">
      <w:pPr>
        <w:pStyle w:val="2"/>
        <w:keepNext/>
        <w:keepLines/>
        <w:adjustRightInd w:val="0"/>
        <w:spacing w:beforeLines="0" w:afterLines="0"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六、场址条件及总平面规划布置部分</w:t>
      </w:r>
    </w:p>
    <w:p w14:paraId="79E42FF1">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（一）风电场总平面规划布置</w:t>
      </w:r>
    </w:p>
    <w:p w14:paraId="2D56AE6C">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 本工程的场址位于陕西省靖边县城南的黄土高原上，距靖边县城的距离约40km。风电场区域的海拔标高在1500m</w:t>
      </w:r>
      <w:r>
        <w:rPr>
          <w:rFonts w:hint="eastAsia" w:ascii="仿宋" w:hAnsi="仿宋" w:eastAsia="仿宋" w:cs="仿宋"/>
          <w:sz w:val="30"/>
          <w:szCs w:val="30"/>
        </w:rPr>
        <w:t>～</w:t>
      </w:r>
      <w:r>
        <w:rPr>
          <w:rFonts w:ascii="仿宋_GB2312" w:hAnsi="仿宋_GB2312" w:eastAsia="仿宋_GB2312" w:cs="Times New Roman"/>
          <w:sz w:val="30"/>
          <w:szCs w:val="30"/>
        </w:rPr>
        <w:t>1800m之间。</w:t>
      </w:r>
    </w:p>
    <w:p w14:paraId="3E119489">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 风电场的17台风机机组根据地形条件及风资源情况布置在山脊或山顶上，各机位按不受洪水的影响考虑。</w:t>
      </w:r>
    </w:p>
    <w:p w14:paraId="3F0A434D">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 风电场距场区内无房屋等拆迁工程量。</w:t>
      </w:r>
    </w:p>
    <w:p w14:paraId="3DDC1A2F">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4. 原则同意本工程110kV升压站站址选择场区中部，并预留扩建空间。</w:t>
      </w:r>
    </w:p>
    <w:p w14:paraId="7990EA45">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5. 风电场的集电线路按照架空为主的方式，全场设2回集电线路，架空长度为25km。</w:t>
      </w:r>
    </w:p>
    <w:p w14:paraId="06EB185A">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6. 根据设计单位编制方案，本工程全场挖方38.7万方，填方37.2万方，弃方1.5万方。本阶段弃方按照就地摊平</w:t>
      </w:r>
      <w:r>
        <w:rPr>
          <w:rFonts w:hint="eastAsia" w:ascii="仿宋_GB2312" w:hAnsi="仿宋_GB2312" w:eastAsia="仿宋_GB2312" w:cs="Times New Roman"/>
          <w:sz w:val="30"/>
          <w:szCs w:val="30"/>
        </w:rPr>
        <w:t>和道路平整</w:t>
      </w:r>
      <w:r>
        <w:rPr>
          <w:rFonts w:ascii="仿宋_GB2312" w:hAnsi="仿宋_GB2312" w:eastAsia="仿宋_GB2312" w:cs="Times New Roman"/>
          <w:sz w:val="30"/>
          <w:szCs w:val="30"/>
        </w:rPr>
        <w:t>考虑。</w:t>
      </w:r>
    </w:p>
    <w:p w14:paraId="7952BE4D">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本工程水保批复已过期，项目公司已按照现方案重新编制水保专题报告，根据水土保持专题报告的方案，全场挖方</w:t>
      </w:r>
      <w:r>
        <w:rPr>
          <w:rFonts w:ascii="仿宋_GB2312" w:hAnsi="仿宋_GB2312" w:eastAsia="仿宋_GB2312" w:cs="Times New Roman"/>
          <w:sz w:val="30"/>
          <w:szCs w:val="30"/>
        </w:rPr>
        <w:t>39.26万方</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填方39.26万方，土石方挖填平衡、无弃土。</w:t>
      </w:r>
      <w:r>
        <w:rPr>
          <w:rFonts w:hint="eastAsia" w:ascii="仿宋_GB2312" w:hAnsi="仿宋_GB2312" w:eastAsia="仿宋_GB2312" w:cs="Times New Roman"/>
          <w:sz w:val="30"/>
          <w:szCs w:val="30"/>
        </w:rPr>
        <w:t>请项目公司开工前重新取得水保批复。</w:t>
      </w:r>
    </w:p>
    <w:p w14:paraId="56054870">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7. 风电机组的吊装平台按不超过2000m</w:t>
      </w:r>
      <w:r>
        <w:rPr>
          <w:rFonts w:ascii="仿宋_GB2312" w:hAnsi="仿宋_GB2312" w:eastAsia="仿宋_GB2312" w:cs="Times New Roman"/>
          <w:sz w:val="30"/>
          <w:szCs w:val="30"/>
          <w:vertAlign w:val="superscript"/>
        </w:rPr>
        <w:t>2</w:t>
      </w:r>
      <w:r>
        <w:rPr>
          <w:rFonts w:ascii="仿宋_GB2312" w:hAnsi="仿宋_GB2312" w:eastAsia="仿宋_GB2312" w:cs="Times New Roman"/>
          <w:sz w:val="30"/>
          <w:szCs w:val="30"/>
        </w:rPr>
        <w:t>考虑。</w:t>
      </w:r>
    </w:p>
    <w:p w14:paraId="1992AD0E">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（二）交通运输及道路</w:t>
      </w:r>
    </w:p>
    <w:p w14:paraId="18913D50">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 本工程的风机机组、风机叶片及塔筒等大件设备采用公路方案。</w:t>
      </w:r>
    </w:p>
    <w:p w14:paraId="43533BF6">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 原则同意风电场场内的道路采用长期租地的方式。本工程新建场内检修道路6.75km，改造道路长度33km。</w:t>
      </w:r>
    </w:p>
    <w:p w14:paraId="5FD1BEA4">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 升压站进站道路长约200m，同意采用路面宽度为5.5m的砂石路面。</w:t>
      </w:r>
    </w:p>
    <w:p w14:paraId="6A409C23">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（三）升压站</w:t>
      </w:r>
    </w:p>
    <w:p w14:paraId="1A4488A7">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 同意升压站规模按100MW装机容量进行规划设计。</w:t>
      </w:r>
    </w:p>
    <w:p w14:paraId="4CFF3C1B">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 110kV升压站的设计洪水标准按高于五十年一遇洪水考虑，经设计单位核实目前确定的升压站零米高程满足要求。</w:t>
      </w:r>
    </w:p>
    <w:p w14:paraId="6CD000B5">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（四）风电场用地</w:t>
      </w:r>
    </w:p>
    <w:p w14:paraId="7DEECECC">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 根据陕西省国土资源厅对本工程的用地预审批复文件，本工程永久占地面积为2.725公顷，其中农用地2.725公顷（项目不涉及占用耕地）。</w:t>
      </w:r>
    </w:p>
    <w:p w14:paraId="603E0AD3">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 设计单位提出的本工程永久用地面积符合用地预审批复文件的要求。</w:t>
      </w:r>
    </w:p>
    <w:p w14:paraId="203DD098">
      <w:pPr>
        <w:autoSpaceDE w:val="0"/>
        <w:autoSpaceDN w:val="0"/>
        <w:adjustRightInd w:val="0"/>
        <w:snapToGrid w:val="0"/>
        <w:spacing w:beforeLines="0" w:after="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 本工程征租地面积及单价见下表。</w:t>
      </w:r>
    </w:p>
    <w:tbl>
      <w:tblPr>
        <w:tblStyle w:val="5"/>
        <w:tblW w:w="8522" w:type="dxa"/>
        <w:tblInd w:w="0" w:type="dxa"/>
        <w:tblLayout w:type="fixed"/>
        <w:tblCellMar>
          <w:top w:w="0" w:type="dxa"/>
          <w:left w:w="108" w:type="dxa"/>
          <w:bottom w:w="0" w:type="dxa"/>
          <w:right w:w="108" w:type="dxa"/>
        </w:tblCellMar>
      </w:tblPr>
      <w:tblGrid>
        <w:gridCol w:w="703"/>
        <w:gridCol w:w="1404"/>
        <w:gridCol w:w="3030"/>
        <w:gridCol w:w="1403"/>
        <w:gridCol w:w="1982"/>
      </w:tblGrid>
      <w:tr w14:paraId="38334403">
        <w:trPr>
          <w:trHeight w:val="567" w:hRule="atLeast"/>
        </w:trPr>
        <w:tc>
          <w:tcPr>
            <w:tcW w:w="703" w:type="dxa"/>
            <w:tcBorders>
              <w:top w:val="single" w:color="auto" w:sz="4" w:space="0"/>
              <w:left w:val="single" w:color="auto" w:sz="4" w:space="0"/>
              <w:bottom w:val="single" w:color="auto" w:sz="4" w:space="0"/>
              <w:right w:val="single" w:color="auto" w:sz="4" w:space="0"/>
            </w:tcBorders>
            <w:shd w:val="clear" w:color="auto" w:fill="auto"/>
            <w:vAlign w:val="center"/>
          </w:tcPr>
          <w:p w14:paraId="4AB405B2">
            <w:pPr>
              <w:widowControl/>
              <w:adjustRightInd w:val="0"/>
              <w:snapToGrid w:val="0"/>
              <w:spacing w:beforeLines="0" w:afterLines="0" w:line="560" w:lineRule="exact"/>
              <w:jc w:val="center"/>
              <w:rPr>
                <w:rFonts w:ascii="仿宋_GB2312" w:hAnsi="仿宋_GB2312" w:eastAsia="仿宋_GB2312" w:cs="宋体"/>
                <w:b/>
                <w:bCs/>
                <w:color w:val="000000"/>
                <w:kern w:val="0"/>
                <w:szCs w:val="21"/>
              </w:rPr>
            </w:pPr>
            <w:r>
              <w:rPr>
                <w:rFonts w:hint="eastAsia" w:ascii="仿宋_GB2312" w:hAnsi="仿宋_GB2312" w:eastAsia="仿宋_GB2312" w:cs="宋体"/>
                <w:b/>
                <w:bCs/>
                <w:color w:val="000000"/>
                <w:kern w:val="0"/>
                <w:szCs w:val="21"/>
              </w:rPr>
              <w:t>序号</w:t>
            </w:r>
          </w:p>
        </w:tc>
        <w:tc>
          <w:tcPr>
            <w:tcW w:w="1404" w:type="dxa"/>
            <w:tcBorders>
              <w:top w:val="single" w:color="auto" w:sz="4" w:space="0"/>
              <w:left w:val="nil"/>
              <w:bottom w:val="single" w:color="auto" w:sz="4" w:space="0"/>
              <w:right w:val="single" w:color="auto" w:sz="4" w:space="0"/>
            </w:tcBorders>
            <w:shd w:val="clear" w:color="auto" w:fill="auto"/>
            <w:vAlign w:val="center"/>
          </w:tcPr>
          <w:p w14:paraId="455A5A6B">
            <w:pPr>
              <w:widowControl/>
              <w:adjustRightInd w:val="0"/>
              <w:snapToGrid w:val="0"/>
              <w:spacing w:beforeLines="0" w:afterLines="0" w:line="560" w:lineRule="exact"/>
              <w:jc w:val="center"/>
              <w:rPr>
                <w:rFonts w:ascii="仿宋_GB2312" w:hAnsi="仿宋_GB2312" w:eastAsia="仿宋_GB2312" w:cs="宋体"/>
                <w:b/>
                <w:bCs/>
                <w:color w:val="000000"/>
                <w:kern w:val="0"/>
                <w:szCs w:val="21"/>
              </w:rPr>
            </w:pPr>
            <w:r>
              <w:rPr>
                <w:rFonts w:hint="eastAsia" w:ascii="仿宋_GB2312" w:hAnsi="仿宋_GB2312" w:eastAsia="仿宋_GB2312" w:cs="宋体"/>
                <w:b/>
                <w:bCs/>
                <w:color w:val="000000"/>
                <w:kern w:val="0"/>
                <w:szCs w:val="21"/>
              </w:rPr>
              <w:t>征租地方式</w:t>
            </w:r>
          </w:p>
        </w:tc>
        <w:tc>
          <w:tcPr>
            <w:tcW w:w="3030" w:type="dxa"/>
            <w:tcBorders>
              <w:top w:val="single" w:color="auto" w:sz="4" w:space="0"/>
              <w:left w:val="nil"/>
              <w:bottom w:val="single" w:color="auto" w:sz="4" w:space="0"/>
              <w:right w:val="single" w:color="auto" w:sz="4" w:space="0"/>
            </w:tcBorders>
            <w:shd w:val="clear" w:color="auto" w:fill="auto"/>
            <w:vAlign w:val="center"/>
          </w:tcPr>
          <w:p w14:paraId="7789D096">
            <w:pPr>
              <w:widowControl/>
              <w:adjustRightInd w:val="0"/>
              <w:snapToGrid w:val="0"/>
              <w:spacing w:beforeLines="0" w:afterLines="0" w:line="560" w:lineRule="exact"/>
              <w:jc w:val="center"/>
              <w:rPr>
                <w:rFonts w:ascii="仿宋_GB2312" w:hAnsi="仿宋_GB2312" w:eastAsia="仿宋_GB2312" w:cs="宋体"/>
                <w:b/>
                <w:bCs/>
                <w:color w:val="000000"/>
                <w:kern w:val="0"/>
                <w:szCs w:val="21"/>
              </w:rPr>
            </w:pPr>
            <w:r>
              <w:rPr>
                <w:rFonts w:hint="eastAsia" w:ascii="仿宋_GB2312" w:hAnsi="仿宋_GB2312" w:eastAsia="仿宋_GB2312" w:cs="宋体"/>
                <w:b/>
                <w:bCs/>
                <w:color w:val="000000"/>
                <w:kern w:val="0"/>
                <w:szCs w:val="21"/>
              </w:rPr>
              <w:t>项目</w:t>
            </w:r>
          </w:p>
        </w:tc>
        <w:tc>
          <w:tcPr>
            <w:tcW w:w="1403" w:type="dxa"/>
            <w:tcBorders>
              <w:top w:val="single" w:color="auto" w:sz="4" w:space="0"/>
              <w:left w:val="nil"/>
              <w:bottom w:val="single" w:color="auto" w:sz="4" w:space="0"/>
              <w:right w:val="single" w:color="auto" w:sz="4" w:space="0"/>
            </w:tcBorders>
            <w:shd w:val="clear" w:color="auto" w:fill="auto"/>
            <w:vAlign w:val="center"/>
          </w:tcPr>
          <w:p w14:paraId="0ED5030C">
            <w:pPr>
              <w:widowControl/>
              <w:adjustRightInd w:val="0"/>
              <w:snapToGrid w:val="0"/>
              <w:spacing w:beforeLines="0" w:afterLines="0" w:line="560" w:lineRule="exact"/>
              <w:jc w:val="center"/>
              <w:rPr>
                <w:rFonts w:ascii="仿宋_GB2312" w:hAnsi="仿宋_GB2312" w:eastAsia="仿宋_GB2312" w:cs="宋体"/>
                <w:b/>
                <w:bCs/>
                <w:color w:val="000000"/>
                <w:kern w:val="0"/>
                <w:szCs w:val="21"/>
              </w:rPr>
            </w:pPr>
            <w:r>
              <w:rPr>
                <w:rFonts w:hint="eastAsia" w:ascii="仿宋_GB2312" w:hAnsi="仿宋_GB2312" w:eastAsia="仿宋_GB2312" w:cs="宋体"/>
                <w:b/>
                <w:bCs/>
                <w:color w:val="000000"/>
                <w:kern w:val="0"/>
                <w:szCs w:val="21"/>
              </w:rPr>
              <w:t>面积（亩）</w:t>
            </w:r>
          </w:p>
        </w:tc>
        <w:tc>
          <w:tcPr>
            <w:tcW w:w="1982" w:type="dxa"/>
            <w:tcBorders>
              <w:top w:val="single" w:color="auto" w:sz="4" w:space="0"/>
              <w:left w:val="nil"/>
              <w:bottom w:val="single" w:color="auto" w:sz="4" w:space="0"/>
              <w:right w:val="single" w:color="auto" w:sz="4" w:space="0"/>
            </w:tcBorders>
            <w:shd w:val="clear" w:color="auto" w:fill="auto"/>
            <w:vAlign w:val="center"/>
          </w:tcPr>
          <w:p w14:paraId="4147F69D">
            <w:pPr>
              <w:widowControl/>
              <w:adjustRightInd w:val="0"/>
              <w:snapToGrid w:val="0"/>
              <w:spacing w:beforeLines="0" w:afterLines="0" w:line="560" w:lineRule="exact"/>
              <w:jc w:val="center"/>
              <w:rPr>
                <w:rFonts w:ascii="仿宋_GB2312" w:hAnsi="仿宋_GB2312" w:eastAsia="仿宋_GB2312" w:cs="宋体"/>
                <w:b/>
                <w:bCs/>
                <w:color w:val="000000"/>
                <w:kern w:val="0"/>
                <w:szCs w:val="21"/>
              </w:rPr>
            </w:pPr>
            <w:r>
              <w:rPr>
                <w:rFonts w:hint="eastAsia" w:ascii="仿宋_GB2312" w:hAnsi="仿宋_GB2312" w:eastAsia="仿宋_GB2312" w:cs="宋体"/>
                <w:b/>
                <w:bCs/>
                <w:color w:val="000000"/>
                <w:kern w:val="0"/>
                <w:szCs w:val="21"/>
              </w:rPr>
              <w:t>单价（万元/亩）</w:t>
            </w:r>
          </w:p>
        </w:tc>
      </w:tr>
      <w:tr w14:paraId="4AA86493">
        <w:trPr>
          <w:trHeight w:val="567" w:hRule="atLeast"/>
        </w:trPr>
        <w:tc>
          <w:tcPr>
            <w:tcW w:w="703" w:type="dxa"/>
            <w:tcBorders>
              <w:top w:val="single" w:color="auto" w:sz="4" w:space="0"/>
              <w:left w:val="single" w:color="auto" w:sz="4" w:space="0"/>
              <w:bottom w:val="single" w:color="auto" w:sz="4" w:space="0"/>
              <w:right w:val="single" w:color="auto" w:sz="4" w:space="0"/>
            </w:tcBorders>
            <w:shd w:val="clear" w:color="auto" w:fill="auto"/>
            <w:vAlign w:val="center"/>
          </w:tcPr>
          <w:p w14:paraId="320901A2">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仿宋_GB2312" w:eastAsia="仿宋_GB2312" w:cs="宋体"/>
                <w:kern w:val="0"/>
                <w:szCs w:val="21"/>
              </w:rPr>
              <w:t>1</w:t>
            </w:r>
          </w:p>
        </w:tc>
        <w:tc>
          <w:tcPr>
            <w:tcW w:w="140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9E18C63">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仿宋_GB2312" w:eastAsia="仿宋_GB2312" w:cs="宋体"/>
                <w:kern w:val="0"/>
                <w:szCs w:val="21"/>
              </w:rPr>
              <w:t>永久征地</w:t>
            </w:r>
          </w:p>
        </w:tc>
        <w:tc>
          <w:tcPr>
            <w:tcW w:w="3030" w:type="dxa"/>
            <w:tcBorders>
              <w:top w:val="single" w:color="auto" w:sz="4" w:space="0"/>
              <w:bottom w:val="single" w:color="auto" w:sz="4" w:space="0"/>
              <w:right w:val="single" w:color="auto" w:sz="4" w:space="0"/>
            </w:tcBorders>
            <w:vAlign w:val="center"/>
          </w:tcPr>
          <w:p w14:paraId="38C2DFE2">
            <w:pPr>
              <w:widowControl/>
              <w:adjustRightInd w:val="0"/>
              <w:snapToGrid w:val="0"/>
              <w:spacing w:beforeLines="0" w:afterLines="0" w:line="560" w:lineRule="exact"/>
              <w:jc w:val="center"/>
              <w:rPr>
                <w:rFonts w:ascii="仿宋_GB2312" w:hAnsi="仿宋_GB2312" w:eastAsia="仿宋_GB2312" w:cs="宋体"/>
                <w:kern w:val="0"/>
                <w:szCs w:val="21"/>
              </w:rPr>
            </w:pPr>
            <w:r>
              <w:rPr>
                <w:rStyle w:val="7"/>
                <w:rFonts w:hint="eastAsia" w:ascii="仿宋_GB2312" w:eastAsia="仿宋_GB2312" w:cs="仿宋_GB2312"/>
                <w:b w:val="0"/>
                <w:bCs w:val="0"/>
                <w:szCs w:val="21"/>
              </w:rPr>
              <w:t>风机及箱变基础占地</w:t>
            </w:r>
          </w:p>
        </w:tc>
        <w:tc>
          <w:tcPr>
            <w:tcW w:w="1403" w:type="dxa"/>
            <w:tcBorders>
              <w:top w:val="single" w:color="auto" w:sz="4" w:space="0"/>
              <w:left w:val="single" w:color="auto" w:sz="4" w:space="0"/>
              <w:bottom w:val="single" w:color="auto" w:sz="4" w:space="0"/>
            </w:tcBorders>
            <w:vAlign w:val="center"/>
          </w:tcPr>
          <w:p w14:paraId="024D823A">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宋体" w:eastAsia="仿宋_GB2312"/>
                <w:bCs/>
                <w:szCs w:val="21"/>
              </w:rPr>
              <w:t>8.55</w:t>
            </w:r>
          </w:p>
        </w:tc>
        <w:tc>
          <w:tcPr>
            <w:tcW w:w="198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3D3ED62">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仿宋_GB2312" w:eastAsia="仿宋_GB2312" w:cs="宋体"/>
                <w:kern w:val="0"/>
                <w:szCs w:val="21"/>
              </w:rPr>
              <w:t>6.00</w:t>
            </w:r>
          </w:p>
        </w:tc>
      </w:tr>
      <w:tr w14:paraId="556D8394">
        <w:trPr>
          <w:trHeight w:val="567" w:hRule="atLeast"/>
        </w:trPr>
        <w:tc>
          <w:tcPr>
            <w:tcW w:w="703" w:type="dxa"/>
            <w:tcBorders>
              <w:top w:val="single" w:color="auto" w:sz="4" w:space="0"/>
              <w:left w:val="single" w:color="auto" w:sz="4" w:space="0"/>
              <w:bottom w:val="single" w:color="auto" w:sz="4" w:space="0"/>
              <w:right w:val="single" w:color="auto" w:sz="4" w:space="0"/>
            </w:tcBorders>
            <w:shd w:val="clear" w:color="auto" w:fill="auto"/>
            <w:vAlign w:val="center"/>
          </w:tcPr>
          <w:p w14:paraId="7D4AF49F">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仿宋_GB2312" w:eastAsia="仿宋_GB2312" w:cs="宋体"/>
                <w:kern w:val="0"/>
                <w:szCs w:val="21"/>
              </w:rPr>
              <w:t>2</w:t>
            </w:r>
          </w:p>
        </w:tc>
        <w:tc>
          <w:tcPr>
            <w:tcW w:w="1404" w:type="dxa"/>
            <w:vMerge w:val="continue"/>
            <w:tcBorders>
              <w:top w:val="single" w:color="auto" w:sz="4" w:space="0"/>
              <w:left w:val="single" w:color="auto" w:sz="4" w:space="0"/>
              <w:bottom w:val="single" w:color="auto" w:sz="4" w:space="0"/>
              <w:right w:val="single" w:color="auto" w:sz="4" w:space="0"/>
            </w:tcBorders>
            <w:vAlign w:val="center"/>
          </w:tcPr>
          <w:p w14:paraId="44783D0D">
            <w:pPr>
              <w:widowControl/>
              <w:adjustRightInd w:val="0"/>
              <w:snapToGrid w:val="0"/>
              <w:spacing w:beforeLines="0" w:afterLines="0" w:line="560" w:lineRule="exact"/>
              <w:jc w:val="left"/>
              <w:rPr>
                <w:rFonts w:ascii="仿宋_GB2312" w:hAnsi="仿宋_GB2312" w:eastAsia="仿宋_GB2312" w:cs="宋体"/>
                <w:kern w:val="0"/>
                <w:szCs w:val="21"/>
              </w:rPr>
            </w:pPr>
          </w:p>
        </w:tc>
        <w:tc>
          <w:tcPr>
            <w:tcW w:w="3030" w:type="dxa"/>
            <w:tcBorders>
              <w:top w:val="single" w:color="auto" w:sz="4" w:space="0"/>
              <w:bottom w:val="single" w:color="auto" w:sz="4" w:space="0"/>
              <w:right w:val="single" w:color="auto" w:sz="4" w:space="0"/>
            </w:tcBorders>
            <w:vAlign w:val="center"/>
          </w:tcPr>
          <w:p w14:paraId="504AA3B7">
            <w:pPr>
              <w:widowControl/>
              <w:adjustRightInd w:val="0"/>
              <w:snapToGrid w:val="0"/>
              <w:spacing w:beforeLines="0" w:afterLines="0" w:line="560" w:lineRule="exact"/>
              <w:jc w:val="center"/>
              <w:rPr>
                <w:rFonts w:ascii="仿宋_GB2312" w:hAnsi="仿宋_GB2312" w:eastAsia="仿宋_GB2312" w:cs="宋体"/>
                <w:kern w:val="0"/>
                <w:szCs w:val="21"/>
              </w:rPr>
            </w:pPr>
            <w:r>
              <w:rPr>
                <w:rStyle w:val="7"/>
                <w:rFonts w:hint="eastAsia" w:ascii="仿宋_GB2312" w:eastAsia="仿宋_GB2312" w:cs="仿宋_GB2312"/>
                <w:b w:val="0"/>
                <w:bCs w:val="0"/>
                <w:szCs w:val="21"/>
              </w:rPr>
              <w:t>升压站占地</w:t>
            </w:r>
          </w:p>
        </w:tc>
        <w:tc>
          <w:tcPr>
            <w:tcW w:w="1403" w:type="dxa"/>
            <w:tcBorders>
              <w:top w:val="single" w:color="auto" w:sz="4" w:space="0"/>
              <w:left w:val="single" w:color="auto" w:sz="4" w:space="0"/>
              <w:bottom w:val="single" w:color="auto" w:sz="4" w:space="0"/>
            </w:tcBorders>
            <w:vAlign w:val="center"/>
          </w:tcPr>
          <w:p w14:paraId="127F7F6D">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宋体" w:eastAsia="仿宋_GB2312"/>
                <w:bCs/>
                <w:szCs w:val="21"/>
              </w:rPr>
              <w:t>1</w:t>
            </w:r>
            <w:r>
              <w:rPr>
                <w:rFonts w:ascii="仿宋_GB2312" w:hAnsi="宋体" w:eastAsia="仿宋_GB2312"/>
                <w:bCs/>
                <w:szCs w:val="21"/>
              </w:rPr>
              <w:t>3</w:t>
            </w:r>
            <w:r>
              <w:rPr>
                <w:rFonts w:hint="eastAsia" w:ascii="仿宋_GB2312" w:hAnsi="宋体" w:eastAsia="仿宋_GB2312"/>
                <w:bCs/>
                <w:szCs w:val="21"/>
              </w:rPr>
              <w:t>.</w:t>
            </w:r>
            <w:r>
              <w:rPr>
                <w:rFonts w:ascii="仿宋_GB2312" w:hAnsi="宋体" w:eastAsia="仿宋_GB2312"/>
                <w:bCs/>
                <w:szCs w:val="21"/>
              </w:rPr>
              <w:t>6</w:t>
            </w:r>
            <w:r>
              <w:rPr>
                <w:rFonts w:hint="eastAsia" w:ascii="仿宋_GB2312" w:hAnsi="宋体" w:eastAsia="仿宋_GB2312"/>
                <w:bCs/>
                <w:szCs w:val="21"/>
              </w:rPr>
              <w:t>5</w:t>
            </w:r>
          </w:p>
        </w:tc>
        <w:tc>
          <w:tcPr>
            <w:tcW w:w="1982" w:type="dxa"/>
            <w:vMerge w:val="continue"/>
            <w:tcBorders>
              <w:top w:val="single" w:color="auto" w:sz="4" w:space="0"/>
              <w:left w:val="single" w:color="auto" w:sz="4" w:space="0"/>
              <w:bottom w:val="single" w:color="auto" w:sz="4" w:space="0"/>
              <w:right w:val="single" w:color="auto" w:sz="4" w:space="0"/>
            </w:tcBorders>
            <w:vAlign w:val="center"/>
          </w:tcPr>
          <w:p w14:paraId="737CED1B">
            <w:pPr>
              <w:widowControl/>
              <w:adjustRightInd w:val="0"/>
              <w:snapToGrid w:val="0"/>
              <w:spacing w:beforeLines="0" w:afterLines="0" w:line="560" w:lineRule="exact"/>
              <w:jc w:val="left"/>
              <w:rPr>
                <w:rFonts w:ascii="仿宋_GB2312" w:hAnsi="仿宋_GB2312" w:eastAsia="仿宋_GB2312" w:cs="宋体"/>
                <w:kern w:val="0"/>
                <w:szCs w:val="21"/>
              </w:rPr>
            </w:pPr>
          </w:p>
        </w:tc>
      </w:tr>
      <w:tr w14:paraId="4C3ECB40">
        <w:trPr>
          <w:trHeight w:val="567" w:hRule="atLeast"/>
        </w:trPr>
        <w:tc>
          <w:tcPr>
            <w:tcW w:w="703" w:type="dxa"/>
            <w:tcBorders>
              <w:top w:val="single" w:color="auto" w:sz="4" w:space="0"/>
              <w:left w:val="single" w:color="auto" w:sz="4" w:space="0"/>
              <w:bottom w:val="single" w:color="auto" w:sz="4" w:space="0"/>
              <w:right w:val="single" w:color="auto" w:sz="4" w:space="0"/>
            </w:tcBorders>
            <w:shd w:val="clear" w:color="auto" w:fill="auto"/>
            <w:vAlign w:val="center"/>
          </w:tcPr>
          <w:p w14:paraId="7A56D5EF">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仿宋_GB2312" w:eastAsia="仿宋_GB2312" w:cs="宋体"/>
                <w:kern w:val="0"/>
                <w:szCs w:val="21"/>
              </w:rPr>
              <w:t>3</w:t>
            </w:r>
          </w:p>
        </w:tc>
        <w:tc>
          <w:tcPr>
            <w:tcW w:w="1404" w:type="dxa"/>
            <w:vMerge w:val="continue"/>
            <w:tcBorders>
              <w:top w:val="single" w:color="auto" w:sz="4" w:space="0"/>
              <w:left w:val="single" w:color="auto" w:sz="4" w:space="0"/>
              <w:bottom w:val="single" w:color="auto" w:sz="4" w:space="0"/>
              <w:right w:val="single" w:color="auto" w:sz="4" w:space="0"/>
            </w:tcBorders>
            <w:vAlign w:val="center"/>
          </w:tcPr>
          <w:p w14:paraId="2905B05A">
            <w:pPr>
              <w:widowControl/>
              <w:adjustRightInd w:val="0"/>
              <w:snapToGrid w:val="0"/>
              <w:spacing w:beforeLines="0" w:afterLines="0" w:line="560" w:lineRule="exact"/>
              <w:jc w:val="left"/>
              <w:rPr>
                <w:rFonts w:ascii="仿宋_GB2312" w:hAnsi="仿宋_GB2312" w:eastAsia="仿宋_GB2312" w:cs="宋体"/>
                <w:kern w:val="0"/>
                <w:szCs w:val="21"/>
              </w:rPr>
            </w:pPr>
          </w:p>
        </w:tc>
        <w:tc>
          <w:tcPr>
            <w:tcW w:w="3030" w:type="dxa"/>
            <w:tcBorders>
              <w:top w:val="single" w:color="auto" w:sz="4" w:space="0"/>
              <w:bottom w:val="single" w:color="auto" w:sz="4" w:space="0"/>
              <w:right w:val="single" w:color="auto" w:sz="4" w:space="0"/>
            </w:tcBorders>
            <w:vAlign w:val="center"/>
          </w:tcPr>
          <w:p w14:paraId="0E6A8191">
            <w:pPr>
              <w:widowControl/>
              <w:adjustRightInd w:val="0"/>
              <w:snapToGrid w:val="0"/>
              <w:spacing w:beforeLines="0" w:afterLines="0" w:line="560" w:lineRule="exact"/>
              <w:jc w:val="center"/>
              <w:rPr>
                <w:rFonts w:ascii="仿宋_GB2312" w:hAnsi="仿宋_GB2312" w:eastAsia="仿宋_GB2312" w:cs="宋体"/>
                <w:kern w:val="0"/>
                <w:szCs w:val="21"/>
              </w:rPr>
            </w:pPr>
            <w:r>
              <w:rPr>
                <w:rStyle w:val="7"/>
                <w:rFonts w:hint="eastAsia" w:ascii="仿宋_GB2312" w:eastAsia="仿宋_GB2312" w:cs="仿宋_GB2312"/>
                <w:b w:val="0"/>
                <w:bCs w:val="0"/>
                <w:szCs w:val="21"/>
              </w:rPr>
              <w:t>集电线路铁塔占地</w:t>
            </w:r>
          </w:p>
        </w:tc>
        <w:tc>
          <w:tcPr>
            <w:tcW w:w="1403" w:type="dxa"/>
            <w:tcBorders>
              <w:top w:val="single" w:color="auto" w:sz="4" w:space="0"/>
              <w:left w:val="single" w:color="auto" w:sz="4" w:space="0"/>
              <w:bottom w:val="single" w:color="auto" w:sz="4" w:space="0"/>
            </w:tcBorders>
            <w:vAlign w:val="center"/>
          </w:tcPr>
          <w:p w14:paraId="395C5B32">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宋体" w:eastAsia="仿宋_GB2312"/>
                <w:bCs/>
                <w:szCs w:val="21"/>
              </w:rPr>
              <w:t>8.10</w:t>
            </w:r>
          </w:p>
        </w:tc>
        <w:tc>
          <w:tcPr>
            <w:tcW w:w="1982" w:type="dxa"/>
            <w:vMerge w:val="continue"/>
            <w:tcBorders>
              <w:top w:val="single" w:color="auto" w:sz="4" w:space="0"/>
              <w:left w:val="single" w:color="auto" w:sz="4" w:space="0"/>
              <w:bottom w:val="single" w:color="auto" w:sz="4" w:space="0"/>
              <w:right w:val="single" w:color="auto" w:sz="4" w:space="0"/>
            </w:tcBorders>
            <w:vAlign w:val="center"/>
          </w:tcPr>
          <w:p w14:paraId="088F2341">
            <w:pPr>
              <w:widowControl/>
              <w:adjustRightInd w:val="0"/>
              <w:snapToGrid w:val="0"/>
              <w:spacing w:beforeLines="0" w:afterLines="0" w:line="560" w:lineRule="exact"/>
              <w:jc w:val="left"/>
              <w:rPr>
                <w:rFonts w:ascii="仿宋_GB2312" w:hAnsi="仿宋_GB2312" w:eastAsia="仿宋_GB2312" w:cs="宋体"/>
                <w:kern w:val="0"/>
                <w:szCs w:val="21"/>
              </w:rPr>
            </w:pPr>
          </w:p>
        </w:tc>
      </w:tr>
      <w:tr w14:paraId="61F2DE95">
        <w:trPr>
          <w:trHeight w:val="567" w:hRule="atLeast"/>
        </w:trPr>
        <w:tc>
          <w:tcPr>
            <w:tcW w:w="703" w:type="dxa"/>
            <w:tcBorders>
              <w:top w:val="single" w:color="auto" w:sz="4" w:space="0"/>
              <w:left w:val="single" w:color="auto" w:sz="4" w:space="0"/>
              <w:bottom w:val="single" w:color="auto" w:sz="4" w:space="0"/>
              <w:right w:val="single" w:color="auto" w:sz="4" w:space="0"/>
            </w:tcBorders>
            <w:shd w:val="clear" w:color="auto" w:fill="auto"/>
            <w:vAlign w:val="center"/>
          </w:tcPr>
          <w:p w14:paraId="002A16E2">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仿宋_GB2312" w:eastAsia="仿宋_GB2312" w:cs="宋体"/>
                <w:kern w:val="0"/>
                <w:szCs w:val="21"/>
              </w:rPr>
              <w:t>4</w:t>
            </w:r>
          </w:p>
        </w:tc>
        <w:tc>
          <w:tcPr>
            <w:tcW w:w="1404" w:type="dxa"/>
            <w:tcBorders>
              <w:top w:val="single" w:color="auto" w:sz="4" w:space="0"/>
              <w:left w:val="single" w:color="auto" w:sz="4" w:space="0"/>
              <w:bottom w:val="single" w:color="auto" w:sz="4" w:space="0"/>
              <w:right w:val="single" w:color="auto" w:sz="4" w:space="0"/>
            </w:tcBorders>
            <w:shd w:val="clear" w:color="auto" w:fill="auto"/>
            <w:vAlign w:val="center"/>
          </w:tcPr>
          <w:p w14:paraId="78703960">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仿宋_GB2312" w:eastAsia="仿宋_GB2312" w:cs="宋体"/>
                <w:kern w:val="0"/>
                <w:szCs w:val="21"/>
              </w:rPr>
              <w:t>长期租地</w:t>
            </w:r>
          </w:p>
        </w:tc>
        <w:tc>
          <w:tcPr>
            <w:tcW w:w="3030" w:type="dxa"/>
            <w:tcBorders>
              <w:top w:val="single" w:color="auto" w:sz="4" w:space="0"/>
              <w:left w:val="single" w:color="auto" w:sz="4" w:space="0"/>
              <w:bottom w:val="single" w:color="auto" w:sz="4" w:space="0"/>
              <w:right w:val="single" w:color="auto" w:sz="4" w:space="0"/>
            </w:tcBorders>
            <w:shd w:val="clear" w:color="auto" w:fill="auto"/>
            <w:vAlign w:val="center"/>
          </w:tcPr>
          <w:p w14:paraId="0FE78687">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仿宋_GB2312" w:eastAsia="仿宋_GB2312" w:cs="宋体"/>
                <w:kern w:val="0"/>
                <w:szCs w:val="21"/>
              </w:rPr>
              <w:t>新建扩建道路</w:t>
            </w:r>
          </w:p>
        </w:tc>
        <w:tc>
          <w:tcPr>
            <w:tcW w:w="1403" w:type="dxa"/>
            <w:tcBorders>
              <w:top w:val="single" w:color="auto" w:sz="4" w:space="0"/>
              <w:left w:val="single" w:color="auto" w:sz="4" w:space="0"/>
              <w:bottom w:val="single" w:color="auto" w:sz="4" w:space="0"/>
              <w:right w:val="single" w:color="auto" w:sz="4" w:space="0"/>
            </w:tcBorders>
            <w:vAlign w:val="center"/>
          </w:tcPr>
          <w:p w14:paraId="0A8A8291">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宋体" w:eastAsia="仿宋_GB2312"/>
                <w:bCs/>
                <w:szCs w:val="21"/>
              </w:rPr>
              <w:t>357.75</w:t>
            </w:r>
          </w:p>
        </w:tc>
        <w:tc>
          <w:tcPr>
            <w:tcW w:w="1982" w:type="dxa"/>
            <w:tcBorders>
              <w:top w:val="single" w:color="auto" w:sz="4" w:space="0"/>
              <w:left w:val="single" w:color="auto" w:sz="4" w:space="0"/>
              <w:bottom w:val="single" w:color="auto" w:sz="4" w:space="0"/>
              <w:right w:val="single" w:color="auto" w:sz="4" w:space="0"/>
            </w:tcBorders>
            <w:vAlign w:val="center"/>
          </w:tcPr>
          <w:p w14:paraId="12506BA6">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宋体" w:eastAsia="仿宋_GB2312"/>
                <w:bCs/>
                <w:szCs w:val="21"/>
              </w:rPr>
              <w:t>4.32</w:t>
            </w:r>
          </w:p>
        </w:tc>
      </w:tr>
      <w:tr w14:paraId="203AC065">
        <w:trPr>
          <w:trHeight w:val="567" w:hRule="atLeast"/>
        </w:trPr>
        <w:tc>
          <w:tcPr>
            <w:tcW w:w="703" w:type="dxa"/>
            <w:tcBorders>
              <w:top w:val="single" w:color="auto" w:sz="4" w:space="0"/>
              <w:left w:val="single" w:color="auto" w:sz="4" w:space="0"/>
              <w:bottom w:val="single" w:color="auto" w:sz="4" w:space="0"/>
              <w:right w:val="single" w:color="auto" w:sz="4" w:space="0"/>
            </w:tcBorders>
            <w:shd w:val="clear" w:color="auto" w:fill="auto"/>
            <w:vAlign w:val="center"/>
          </w:tcPr>
          <w:p w14:paraId="1114DD12">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仿宋_GB2312" w:eastAsia="仿宋_GB2312" w:cs="宋体"/>
                <w:kern w:val="0"/>
                <w:szCs w:val="21"/>
              </w:rPr>
              <w:t>5</w:t>
            </w:r>
          </w:p>
        </w:tc>
        <w:tc>
          <w:tcPr>
            <w:tcW w:w="140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EB5EAD9">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仿宋_GB2312" w:eastAsia="仿宋_GB2312" w:cs="宋体"/>
                <w:kern w:val="0"/>
                <w:szCs w:val="21"/>
              </w:rPr>
              <w:t>临时租地</w:t>
            </w:r>
          </w:p>
        </w:tc>
        <w:tc>
          <w:tcPr>
            <w:tcW w:w="3030" w:type="dxa"/>
            <w:tcBorders>
              <w:top w:val="single" w:color="auto" w:sz="4" w:space="0"/>
              <w:left w:val="single" w:color="auto" w:sz="4" w:space="0"/>
              <w:bottom w:val="single" w:color="auto" w:sz="4" w:space="0"/>
              <w:right w:val="single" w:color="auto" w:sz="4" w:space="0"/>
            </w:tcBorders>
            <w:vAlign w:val="center"/>
          </w:tcPr>
          <w:p w14:paraId="7F00F83C">
            <w:pPr>
              <w:widowControl/>
              <w:adjustRightInd w:val="0"/>
              <w:snapToGrid w:val="0"/>
              <w:spacing w:beforeLines="0" w:afterLines="0" w:line="560" w:lineRule="exact"/>
              <w:jc w:val="center"/>
              <w:rPr>
                <w:rFonts w:ascii="仿宋_GB2312" w:hAnsi="仿宋_GB2312" w:eastAsia="仿宋_GB2312" w:cs="宋体"/>
                <w:kern w:val="0"/>
                <w:szCs w:val="21"/>
              </w:rPr>
            </w:pPr>
            <w:r>
              <w:rPr>
                <w:rStyle w:val="7"/>
                <w:rFonts w:hint="eastAsia" w:ascii="仿宋_GB2312" w:eastAsia="仿宋_GB2312" w:cs="仿宋_GB2312"/>
                <w:b w:val="0"/>
                <w:bCs w:val="0"/>
                <w:szCs w:val="21"/>
              </w:rPr>
              <w:t>风机组装场占地</w:t>
            </w:r>
          </w:p>
        </w:tc>
        <w:tc>
          <w:tcPr>
            <w:tcW w:w="1403" w:type="dxa"/>
            <w:tcBorders>
              <w:top w:val="single" w:color="auto" w:sz="4" w:space="0"/>
              <w:left w:val="single" w:color="auto" w:sz="4" w:space="0"/>
              <w:bottom w:val="single" w:color="auto" w:sz="4" w:space="0"/>
              <w:right w:val="single" w:color="auto" w:sz="4" w:space="0"/>
            </w:tcBorders>
            <w:vAlign w:val="center"/>
          </w:tcPr>
          <w:p w14:paraId="0084F4C5">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宋体" w:eastAsia="仿宋_GB2312"/>
                <w:bCs/>
                <w:szCs w:val="21"/>
              </w:rPr>
              <w:t>51.00</w:t>
            </w:r>
          </w:p>
        </w:tc>
        <w:tc>
          <w:tcPr>
            <w:tcW w:w="198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869C30F">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仿宋_GB2312" w:eastAsia="仿宋_GB2312" w:cs="宋体"/>
                <w:kern w:val="0"/>
                <w:szCs w:val="21"/>
              </w:rPr>
              <w:t>0.40</w:t>
            </w:r>
          </w:p>
        </w:tc>
      </w:tr>
      <w:tr w14:paraId="2FF443F3">
        <w:trPr>
          <w:trHeight w:val="567" w:hRule="atLeast"/>
        </w:trPr>
        <w:tc>
          <w:tcPr>
            <w:tcW w:w="703" w:type="dxa"/>
            <w:tcBorders>
              <w:top w:val="single" w:color="auto" w:sz="4" w:space="0"/>
              <w:left w:val="single" w:color="auto" w:sz="4" w:space="0"/>
              <w:bottom w:val="single" w:color="auto" w:sz="4" w:space="0"/>
              <w:right w:val="single" w:color="auto" w:sz="4" w:space="0"/>
            </w:tcBorders>
            <w:shd w:val="clear" w:color="auto" w:fill="auto"/>
            <w:vAlign w:val="center"/>
          </w:tcPr>
          <w:p w14:paraId="46565ACF">
            <w:pPr>
              <w:widowControl/>
              <w:adjustRightInd w:val="0"/>
              <w:snapToGrid w:val="0"/>
              <w:spacing w:beforeLines="0" w:afterLines="0" w:line="560" w:lineRule="exact"/>
              <w:jc w:val="center"/>
              <w:rPr>
                <w:rFonts w:ascii="仿宋_GB2312" w:hAnsi="仿宋_GB2312" w:eastAsia="仿宋_GB2312" w:cs="宋体"/>
                <w:color w:val="000000"/>
                <w:kern w:val="0"/>
                <w:szCs w:val="21"/>
              </w:rPr>
            </w:pPr>
            <w:r>
              <w:rPr>
                <w:rFonts w:hint="eastAsia" w:ascii="仿宋_GB2312" w:hAnsi="仿宋_GB2312" w:eastAsia="仿宋_GB2312" w:cs="宋体"/>
                <w:color w:val="000000"/>
                <w:kern w:val="0"/>
                <w:szCs w:val="21"/>
              </w:rPr>
              <w:t>6</w:t>
            </w:r>
          </w:p>
        </w:tc>
        <w:tc>
          <w:tcPr>
            <w:tcW w:w="1404" w:type="dxa"/>
            <w:vMerge w:val="continue"/>
            <w:tcBorders>
              <w:top w:val="single" w:color="auto" w:sz="4" w:space="0"/>
              <w:left w:val="single" w:color="auto" w:sz="4" w:space="0"/>
              <w:bottom w:val="single" w:color="auto" w:sz="4" w:space="0"/>
              <w:right w:val="single" w:color="auto" w:sz="4" w:space="0"/>
            </w:tcBorders>
            <w:vAlign w:val="center"/>
          </w:tcPr>
          <w:p w14:paraId="28F74A9A">
            <w:pPr>
              <w:widowControl/>
              <w:adjustRightInd w:val="0"/>
              <w:snapToGrid w:val="0"/>
              <w:spacing w:beforeLines="0" w:afterLines="0" w:line="560" w:lineRule="exact"/>
              <w:jc w:val="left"/>
              <w:rPr>
                <w:rFonts w:ascii="仿宋_GB2312" w:hAnsi="仿宋_GB2312" w:eastAsia="仿宋_GB2312" w:cs="宋体"/>
                <w:color w:val="000000"/>
                <w:kern w:val="0"/>
                <w:szCs w:val="21"/>
              </w:rPr>
            </w:pPr>
          </w:p>
        </w:tc>
        <w:tc>
          <w:tcPr>
            <w:tcW w:w="3030" w:type="dxa"/>
            <w:tcBorders>
              <w:top w:val="single" w:color="auto" w:sz="4" w:space="0"/>
              <w:bottom w:val="single" w:color="auto" w:sz="4" w:space="0"/>
              <w:right w:val="single" w:color="auto" w:sz="4" w:space="0"/>
            </w:tcBorders>
            <w:vAlign w:val="center"/>
          </w:tcPr>
          <w:p w14:paraId="7188A206">
            <w:pPr>
              <w:widowControl/>
              <w:adjustRightInd w:val="0"/>
              <w:snapToGrid w:val="0"/>
              <w:spacing w:beforeLines="0" w:afterLines="0" w:line="560" w:lineRule="exact"/>
              <w:jc w:val="center"/>
              <w:rPr>
                <w:rFonts w:ascii="仿宋_GB2312" w:hAnsi="仿宋_GB2312" w:eastAsia="仿宋_GB2312" w:cs="宋体"/>
                <w:kern w:val="0"/>
                <w:szCs w:val="21"/>
              </w:rPr>
            </w:pPr>
            <w:r>
              <w:rPr>
                <w:rStyle w:val="7"/>
                <w:rFonts w:hint="eastAsia" w:ascii="仿宋_GB2312" w:eastAsia="仿宋_GB2312" w:cs="仿宋_GB2312"/>
                <w:b w:val="0"/>
                <w:bCs w:val="0"/>
                <w:szCs w:val="21"/>
              </w:rPr>
              <w:t>修建集电线路临时道路占地</w:t>
            </w:r>
          </w:p>
        </w:tc>
        <w:tc>
          <w:tcPr>
            <w:tcW w:w="1403" w:type="dxa"/>
            <w:tcBorders>
              <w:top w:val="single" w:color="auto" w:sz="4" w:space="0"/>
              <w:left w:val="single" w:color="auto" w:sz="4" w:space="0"/>
              <w:bottom w:val="single" w:color="auto" w:sz="4" w:space="0"/>
            </w:tcBorders>
            <w:vAlign w:val="center"/>
          </w:tcPr>
          <w:p w14:paraId="2AF1D80F">
            <w:pPr>
              <w:widowControl/>
              <w:adjustRightInd w:val="0"/>
              <w:snapToGrid w:val="0"/>
              <w:spacing w:beforeLines="0" w:afterLines="0" w:line="560" w:lineRule="exact"/>
              <w:jc w:val="center"/>
              <w:rPr>
                <w:rFonts w:ascii="仿宋_GB2312" w:hAnsi="仿宋_GB2312" w:eastAsia="仿宋_GB2312" w:cs="宋体"/>
                <w:kern w:val="0"/>
                <w:szCs w:val="21"/>
              </w:rPr>
            </w:pPr>
            <w:r>
              <w:rPr>
                <w:rFonts w:hint="eastAsia" w:ascii="仿宋_GB2312" w:hAnsi="宋体" w:eastAsia="仿宋_GB2312"/>
                <w:bCs/>
                <w:szCs w:val="21"/>
              </w:rPr>
              <w:t>280.50</w:t>
            </w:r>
          </w:p>
        </w:tc>
        <w:tc>
          <w:tcPr>
            <w:tcW w:w="1982" w:type="dxa"/>
            <w:vMerge w:val="continue"/>
            <w:tcBorders>
              <w:top w:val="single" w:color="auto" w:sz="4" w:space="0"/>
              <w:left w:val="single" w:color="auto" w:sz="4" w:space="0"/>
              <w:bottom w:val="single" w:color="000000" w:sz="4" w:space="0"/>
              <w:right w:val="single" w:color="auto" w:sz="4" w:space="0"/>
            </w:tcBorders>
            <w:vAlign w:val="center"/>
          </w:tcPr>
          <w:p w14:paraId="7053D318">
            <w:pPr>
              <w:widowControl/>
              <w:adjustRightInd w:val="0"/>
              <w:snapToGrid w:val="0"/>
              <w:spacing w:beforeLines="0" w:afterLines="0" w:line="560" w:lineRule="exact"/>
              <w:jc w:val="left"/>
              <w:rPr>
                <w:rFonts w:ascii="仿宋_GB2312" w:hAnsi="仿宋_GB2312" w:eastAsia="仿宋_GB2312" w:cs="宋体"/>
                <w:color w:val="000000"/>
                <w:kern w:val="0"/>
                <w:szCs w:val="21"/>
              </w:rPr>
            </w:pPr>
          </w:p>
        </w:tc>
      </w:tr>
    </w:tbl>
    <w:p w14:paraId="42AB4862">
      <w:pPr>
        <w:pStyle w:val="2"/>
        <w:keepNext/>
        <w:keepLines/>
        <w:adjustRightInd w:val="0"/>
        <w:spacing w:beforeLines="0" w:afterLines="0" w:line="560" w:lineRule="exact"/>
        <w:ind w:firstLine="600" w:firstLineChars="200"/>
        <w:rPr>
          <w:rFonts w:ascii="黑体" w:hAnsi="黑体" w:eastAsia="黑体" w:cs="黑体"/>
          <w:b w:val="0"/>
          <w:bCs/>
          <w:color w:val="auto"/>
          <w:kern w:val="44"/>
          <w:sz w:val="30"/>
          <w:szCs w:val="30"/>
          <w:lang w:val="en-US"/>
        </w:rPr>
      </w:pPr>
      <w:r>
        <w:rPr>
          <w:rFonts w:hint="eastAsia" w:ascii="黑体" w:hAnsi="黑体" w:eastAsia="黑体" w:cs="黑体"/>
          <w:b w:val="0"/>
          <w:bCs/>
          <w:color w:val="auto"/>
          <w:kern w:val="44"/>
          <w:sz w:val="30"/>
          <w:szCs w:val="30"/>
          <w:lang w:val="en-US"/>
        </w:rPr>
        <w:t>七、电气部分</w:t>
      </w:r>
    </w:p>
    <w:p w14:paraId="0F1E775C">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（一）接入系统</w:t>
      </w:r>
    </w:p>
    <w:p w14:paraId="6753141C">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根据接入系统设计报告的电力电量平衡及相关分析，榆林地区电力至2020年均处于盈余状态，陕西主网在“十三五”末期随投产电源的增加也将出现电力盈余。本工程风电场电力考虑通过输电线路接入规划中的750kV定靖站外送至关中和陕南消纳。项目公司应注意相关消纳风险。</w:t>
      </w:r>
    </w:p>
    <w:p w14:paraId="1DD347DF">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根据接入系统设计报告，本工程接入系统的方案暂为：本期风电场新建一座110kV升压站，风电场电力由35kV集电线路汇集后接入升压站的35kV母线，利用新增的1台110/35kV主变升压至110kV后，以1回110kV线路送至330kV吉山梁变电站，线路长度为41km，导线型式为LGJ-2×300。送出线路由项目公司出资建设。</w:t>
      </w:r>
    </w:p>
    <w:p w14:paraId="7134EAC3">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请项目公司取得电网部门对接入系统设计的批复意见。</w:t>
      </w:r>
    </w:p>
    <w:p w14:paraId="36E51148">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 本工程升压站按100MW容量规模考虑预留条件，并预留远期南部100MW风电场升压站以110kV接入的条件。</w:t>
      </w:r>
    </w:p>
    <w:p w14:paraId="20736D57">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（二）升压站电气主接线</w:t>
      </w:r>
    </w:p>
    <w:p w14:paraId="2346F116">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本工程按设置1台50MVA的主变压器，预留1台50MVA的主变条件。</w:t>
      </w:r>
    </w:p>
    <w:p w14:paraId="62F15407">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本工程110kV系统采用单母线接线方式，远期110kV系统预留一个华电盘古梁南部风场接入的条件。</w:t>
      </w:r>
    </w:p>
    <w:p w14:paraId="33E99A4C">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升压站35kV配电装置按单母线接线考虑，远期发展为单母线分段接线方式。</w:t>
      </w:r>
    </w:p>
    <w:p w14:paraId="2B304B3B">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4</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本工程35kV系统的中性点采用电阻接地方式，接地点按由主变低压侧中性点引接考虑。</w:t>
      </w:r>
    </w:p>
    <w:p w14:paraId="659846FD">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5</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本工程35kV母线装设的无功补偿装置采用SVG型，按直挂式设计。补偿容量暂按接入系统设计要求采用±30MVar。最终设置方案及补偿容量应以接入系统批复意见为准。</w:t>
      </w:r>
    </w:p>
    <w:p w14:paraId="3C608D34">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（三）风电场集电系统</w:t>
      </w:r>
    </w:p>
    <w:p w14:paraId="6087753E">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本工程17台3000KW风电机组采用一机一变方式，经由箱变升压至35kV电压等级，经2回35kV集电线路（每回8/9台风电机组）接入本期110kV升压站的35kV母线，集电线路采用架空线敷设为主的方案，按变截面方式设计。</w:t>
      </w:r>
    </w:p>
    <w:p w14:paraId="630C0BA4">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本工程箱变变压器容量采用3300kVA华式箱变。</w:t>
      </w:r>
    </w:p>
    <w:p w14:paraId="74A16384">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原则同意本工程箱式变的接线设计方案。</w:t>
      </w:r>
    </w:p>
    <w:p w14:paraId="3D3622A2">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（四）升压站电气总平面布置</w:t>
      </w:r>
    </w:p>
    <w:p w14:paraId="4D8262C9">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 本工程升压站站址选择基本合理。生活区布置于站区的西侧，生产区布置于站区的东侧。SVG室、综合配电室、35kV配电室、主变压器、屋外配电装置由南向北顺序布置，110kV朝北出线。</w:t>
      </w:r>
    </w:p>
    <w:p w14:paraId="4A392B93">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 本工程主变事故油池靠近本期主变布置。</w:t>
      </w:r>
    </w:p>
    <w:p w14:paraId="276CBB6D">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本工程35kV配电装置室、站用电室、继电器室等按终期规模建设，预留远期设备布置条件。</w:t>
      </w:r>
    </w:p>
    <w:p w14:paraId="638CE3DE">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（五）主要设备选择原则</w:t>
      </w:r>
    </w:p>
    <w:p w14:paraId="6C1F7036">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本工程110kV系统短路电流开断水平暂按40kA，35kV系统短路电流开断水平暂按31.5kA考虑。最终应以接入系统批复意见为准。</w:t>
      </w:r>
    </w:p>
    <w:p w14:paraId="2B8E9DC4">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本工程110kV配电装置采用屋外敞开式，断路器采用柱式SF</w:t>
      </w:r>
      <w:r>
        <w:rPr>
          <w:rFonts w:ascii="仿宋_GB2312" w:hAnsi="仿宋_GB2312" w:eastAsia="仿宋_GB2312" w:cs="Times New Roman"/>
          <w:sz w:val="30"/>
          <w:szCs w:val="30"/>
          <w:vertAlign w:val="subscript"/>
        </w:rPr>
        <w:t>6</w:t>
      </w:r>
      <w:r>
        <w:rPr>
          <w:rFonts w:ascii="仿宋_GB2312" w:hAnsi="仿宋_GB2312" w:eastAsia="仿宋_GB2312" w:cs="Times New Roman"/>
          <w:sz w:val="30"/>
          <w:szCs w:val="30"/>
        </w:rPr>
        <w:t>型；主变采用三相双绕组+平衡绕组的油浸有载调压自冷型变压器。</w:t>
      </w:r>
    </w:p>
    <w:p w14:paraId="230F7E36">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本工程35kV配电装置采用户内金属封闭移开式开关柜，无功补偿回路采用SF</w:t>
      </w:r>
      <w:r>
        <w:rPr>
          <w:rFonts w:ascii="仿宋_GB2312" w:hAnsi="仿宋_GB2312" w:eastAsia="仿宋_GB2312" w:cs="Times New Roman"/>
          <w:sz w:val="30"/>
          <w:szCs w:val="30"/>
          <w:vertAlign w:val="subscript"/>
        </w:rPr>
        <w:t>6</w:t>
      </w:r>
      <w:r>
        <w:rPr>
          <w:rFonts w:ascii="仿宋_GB2312" w:hAnsi="仿宋_GB2312" w:eastAsia="仿宋_GB2312" w:cs="Times New Roman"/>
          <w:sz w:val="30"/>
          <w:szCs w:val="30"/>
        </w:rPr>
        <w:t>断路器，其它回路采用真空断路器。</w:t>
      </w:r>
    </w:p>
    <w:p w14:paraId="42320914">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（六）直流及</w:t>
      </w:r>
      <w:r>
        <w:rPr>
          <w:rFonts w:ascii="仿宋_GB2312" w:hAnsi="仿宋_GB2312" w:eastAsia="仿宋_GB2312" w:cs="Times New Roman"/>
          <w:sz w:val="30"/>
          <w:szCs w:val="30"/>
        </w:rPr>
        <w:t>UPS系统</w:t>
      </w:r>
    </w:p>
    <w:p w14:paraId="75BDA3BE">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本工程设置1组200Ah的阀控式密封铅酸蓄电池，2组充电装置，每套充电装置按单回交流电源进线。</w:t>
      </w:r>
    </w:p>
    <w:p w14:paraId="0B918043">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 本工程设置1套UPS系统，UPS与直流系统共用蓄电池，UPS容量结合远期规模暂按15kVA考虑。</w:t>
      </w:r>
    </w:p>
    <w:p w14:paraId="54902AB9">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（七）站用电系统</w:t>
      </w:r>
    </w:p>
    <w:p w14:paraId="1CD91E2A">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本工程站用电工作电源由引接自升压站35kV母线的站用变供电，站用变容量按终期规模统一考虑。</w:t>
      </w:r>
    </w:p>
    <w:p w14:paraId="5388DDAA">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 本工程站用电备用电源由外部引接10kV回路，外部10kV电源按就近引自王渠则35kV变电站。下阶段请项目公司与供电部门签署供电协议，外接电源容量应满足站用电的需要。站用备用变采用油浸式。</w:t>
      </w:r>
    </w:p>
    <w:p w14:paraId="4334D310">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（八）防雷接地系统</w:t>
      </w:r>
    </w:p>
    <w:p w14:paraId="3DBB11F1">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本工程风电场区的风电机组和箱变均利用机组本身的的防直击雷设施；升压站内设置3根构架避雷针、1根独立避雷针作为直击雷保护措施。</w:t>
      </w:r>
    </w:p>
    <w:p w14:paraId="476CF8AE">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本工程风机及箱变区域采用以水平接地体为主，垂直接地体为辅的复合接地网，必要处考虑适当的降阻措施。</w:t>
      </w:r>
    </w:p>
    <w:p w14:paraId="5DD71B07">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（九）监控、继电保护安全自动装置及调度自动化</w:t>
      </w:r>
    </w:p>
    <w:p w14:paraId="3B108644">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 本工程设置1套升压站远程计算机监控系统对升压站内电气设备及风电场机组、箱变进行监控，监控预留与管理部门远程集控的接口。</w:t>
      </w:r>
    </w:p>
    <w:p w14:paraId="0C6FDD91">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 原则同意本工程继电保护及安全自动装置的设置原则，本期暂不设置110kV母线保护。</w:t>
      </w:r>
    </w:p>
    <w:p w14:paraId="41CCEBCC">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系统保护及调动自动化设计方案应按最终接入系统批复意见的要求进一步核实。</w:t>
      </w:r>
    </w:p>
    <w:p w14:paraId="08A37636">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（十）本工程暂按接入系统设计报告要求，系统通信考虑沿</w:t>
      </w:r>
      <w:r>
        <w:rPr>
          <w:rFonts w:ascii="仿宋_GB2312" w:hAnsi="仿宋_GB2312" w:eastAsia="仿宋_GB2312" w:cs="Times New Roman"/>
          <w:sz w:val="30"/>
          <w:szCs w:val="30"/>
        </w:rPr>
        <w:t>110kV送出线路同杆架设1条24芯OPGW光缆，将通信数据信号送至调度端，最终应按接入系统批复意见的要求进一步核实。</w:t>
      </w:r>
    </w:p>
    <w:p w14:paraId="57ECE6F1">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本工程升压站通信电源暂按单独设置考虑。站内设置程控调度交换机，容量按</w:t>
      </w:r>
      <w:r>
        <w:rPr>
          <w:rFonts w:ascii="仿宋_GB2312" w:hAnsi="仿宋_GB2312" w:eastAsia="仿宋_GB2312" w:cs="Times New Roman"/>
          <w:sz w:val="30"/>
          <w:szCs w:val="30"/>
        </w:rPr>
        <w:t>24门考虑。风电场内采用环网通信光缆将风机、箱变的数据信号上传至控制室，通信电缆采用24芯OPGW型。</w:t>
      </w:r>
    </w:p>
    <w:p w14:paraId="20A7AF17">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（十一）本工程设置</w:t>
      </w:r>
      <w:r>
        <w:rPr>
          <w:rFonts w:ascii="仿宋_GB2312" w:hAnsi="仿宋_GB2312" w:eastAsia="仿宋_GB2312" w:cs="Times New Roman"/>
          <w:sz w:val="30"/>
          <w:szCs w:val="30"/>
        </w:rPr>
        <w:t>1套视频图像及安全警卫系统及1套火灾自动报警系统，预留远程监控的接口。火灾自动报警系统具有联动图像监视录像的功能。</w:t>
      </w:r>
    </w:p>
    <w:p w14:paraId="2BD3E9DC">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（十二）本工程暂按在升压站</w:t>
      </w:r>
      <w:r>
        <w:rPr>
          <w:rFonts w:ascii="仿宋_GB2312" w:hAnsi="仿宋_GB2312" w:eastAsia="仿宋_GB2312" w:cs="Times New Roman"/>
          <w:sz w:val="30"/>
          <w:szCs w:val="30"/>
        </w:rPr>
        <w:t>110kV出线侧设电费计量关口点，关口计量点配置0.2S级一主一副2块电能表。主变低压侧及35kV出线、无功设备电源侧、35kV集电线路侧、站用变高压侧等设置计量考核点，0.5S级单表配置。电能量计费系统及计量关口点的设置最终应按接入系统批复意见相关要求核实。</w:t>
      </w:r>
    </w:p>
    <w:p w14:paraId="0BA0D292">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（十三）本工程设置电气实验室。</w:t>
      </w:r>
    </w:p>
    <w:p w14:paraId="40E9B64B">
      <w:pPr>
        <w:pStyle w:val="2"/>
        <w:keepNext/>
        <w:keepLines/>
        <w:adjustRightInd w:val="0"/>
        <w:spacing w:beforeLines="0" w:afterLines="0"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八、土建部分</w:t>
      </w:r>
    </w:p>
    <w:p w14:paraId="54FC1EFD">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（一）</w:t>
      </w:r>
      <w:r>
        <w:rPr>
          <w:rFonts w:ascii="仿宋_GB2312" w:hAnsi="仿宋_GB2312" w:eastAsia="仿宋_GB2312" w:cs="Times New Roman"/>
          <w:sz w:val="30"/>
          <w:szCs w:val="30"/>
        </w:rPr>
        <w:t>依据《风电场工程等级划分及设计安全标准（试行）》（FD002-2007），本期风电场工程等别为II等，工程规模为大（2）型。同意本工程风机机组塔架地基基础的设计级别分别为1级（单机容量3MW）。</w:t>
      </w:r>
    </w:p>
    <w:p w14:paraId="54492BD1">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（二）同意风机基础及其箱变基础、升压站内建（构）筑物抗震设防类别为丙类，地震作用和抗震措施按照符合本地区抗震设防烈度</w:t>
      </w:r>
      <w:r>
        <w:rPr>
          <w:rFonts w:ascii="仿宋_GB2312" w:hAnsi="仿宋_GB2312" w:eastAsia="仿宋_GB2312" w:cs="Times New Roman"/>
          <w:sz w:val="30"/>
          <w:szCs w:val="30"/>
        </w:rPr>
        <w:t>6度的要求。</w:t>
      </w:r>
    </w:p>
    <w:p w14:paraId="70068146">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（三）依据本工程可研报告，场地湿陷类型为按自重湿陷性黄土场地、湿陷等级Ⅱ～Ⅲ级，结合附近工程资料，湿陷下限深度按</w:t>
      </w:r>
      <w:r>
        <w:rPr>
          <w:rFonts w:ascii="仿宋_GB2312" w:hAnsi="仿宋_GB2312" w:eastAsia="仿宋_GB2312" w:cs="Times New Roman"/>
          <w:sz w:val="30"/>
          <w:szCs w:val="30"/>
        </w:rPr>
        <w:t>24.9m考虑。</w:t>
      </w:r>
    </w:p>
    <w:p w14:paraId="7D77E243">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该地区湿陷性黄土的地基处理，同意采取基础设计和防排水并重的措施，在相当完善的地面防排水条件下，风机基础采用灌注桩基础型式。</w:t>
      </w:r>
    </w:p>
    <w:p w14:paraId="1C5EE608">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四）设计单位参考同类型风机厂家的风机机组的设计荷载，对风机基础进行试算，设计单位依据地勘资料，针对灌注桩、灰土挤密桩，灰土垫层地基处理方案进行了技术经济比选工作，原则同意设计院推荐的灌注桩方案。</w:t>
      </w:r>
    </w:p>
    <w:p w14:paraId="452A15D0">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本阶段基础环和预应力锚栓均可，基础与塔筒的连接方式以最终确定的厂家资料为准。</w:t>
      </w:r>
    </w:p>
    <w:p w14:paraId="77082406">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（五）同意箱变基础混凝土箱型基础，同意箱变基础采用</w:t>
      </w:r>
      <w:r>
        <w:rPr>
          <w:rFonts w:ascii="仿宋_GB2312" w:hAnsi="仿宋_GB2312" w:eastAsia="仿宋_GB2312" w:cs="Times New Roman"/>
          <w:sz w:val="30"/>
          <w:szCs w:val="30"/>
        </w:rPr>
        <w:t>C30混凝土，基础下采用2:8灰土垫层处理。</w:t>
      </w:r>
    </w:p>
    <w:p w14:paraId="4BA198AE">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（六）本工程拟建设一座</w:t>
      </w:r>
      <w:r>
        <w:rPr>
          <w:rFonts w:ascii="仿宋_GB2312" w:hAnsi="仿宋_GB2312" w:eastAsia="仿宋_GB2312" w:cs="Times New Roman"/>
          <w:sz w:val="30"/>
          <w:szCs w:val="30"/>
        </w:rPr>
        <w:t>110kV升压站，生产性建筑按50MW规模建设,留有扩建余地，其中办公、生活等附属建筑按照100MW一次建设，并留有扩建余地。</w:t>
      </w:r>
    </w:p>
    <w:p w14:paraId="3C0B814E">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本期110</w:t>
      </w:r>
      <w:r>
        <w:rPr>
          <w:rFonts w:hint="eastAsia" w:ascii="仿宋_GB2312" w:hAnsi="仿宋_GB2312" w:eastAsia="仿宋_GB2312" w:cs="Times New Roman"/>
          <w:sz w:val="30"/>
          <w:szCs w:val="30"/>
        </w:rPr>
        <w:t>k</w:t>
      </w:r>
      <w:r>
        <w:rPr>
          <w:rFonts w:ascii="仿宋_GB2312" w:hAnsi="仿宋_GB2312" w:eastAsia="仿宋_GB2312" w:cs="Times New Roman"/>
          <w:sz w:val="30"/>
          <w:szCs w:val="30"/>
        </w:rPr>
        <w:t>V升压站占地面积9100m</w:t>
      </w:r>
      <w:r>
        <w:rPr>
          <w:rFonts w:ascii="仿宋_GB2312" w:hAnsi="仿宋_GB2312" w:eastAsia="仿宋_GB2312" w:cs="Times New Roman"/>
          <w:sz w:val="30"/>
          <w:szCs w:val="30"/>
          <w:vertAlign w:val="superscript"/>
        </w:rPr>
        <w:t>2</w:t>
      </w:r>
      <w:r>
        <w:rPr>
          <w:rFonts w:ascii="仿宋_GB2312" w:hAnsi="仿宋_GB2312" w:eastAsia="仿宋_GB2312" w:cs="Times New Roman"/>
          <w:sz w:val="30"/>
          <w:szCs w:val="30"/>
        </w:rPr>
        <w:t>，升压站</w:t>
      </w:r>
      <w:r>
        <w:rPr>
          <w:rFonts w:hint="eastAsia" w:ascii="仿宋_GB2312" w:hAnsi="仿宋_GB2312" w:eastAsia="仿宋_GB2312" w:cs="Times New Roman"/>
          <w:sz w:val="30"/>
          <w:szCs w:val="30"/>
        </w:rPr>
        <w:t>内</w:t>
      </w:r>
      <w:r>
        <w:rPr>
          <w:rFonts w:ascii="仿宋_GB2312" w:hAnsi="仿宋_GB2312" w:eastAsia="仿宋_GB2312" w:cs="Times New Roman"/>
          <w:sz w:val="30"/>
          <w:szCs w:val="30"/>
        </w:rPr>
        <w:t>主要建构筑物包含：生产综合楼、电气综合配电室、35kV配电室、SVG室、综合水泵房、主变压器基础、事故油池、污水处理设施、110kV室外配电装置架构等建（构）筑物。</w:t>
      </w:r>
    </w:p>
    <w:p w14:paraId="4F17411B">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生产综合楼为两层建筑，建筑面积约869</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30m</w:t>
      </w:r>
      <w:r>
        <w:rPr>
          <w:rFonts w:ascii="仿宋_GB2312" w:hAnsi="仿宋_GB2312" w:eastAsia="仿宋_GB2312" w:cs="Times New Roman"/>
          <w:sz w:val="30"/>
          <w:szCs w:val="30"/>
          <w:vertAlign w:val="superscript"/>
        </w:rPr>
        <w:t>2</w:t>
      </w:r>
      <w:r>
        <w:rPr>
          <w:rFonts w:ascii="仿宋_GB2312" w:hAnsi="仿宋_GB2312" w:eastAsia="仿宋_GB2312" w:cs="Times New Roman"/>
          <w:sz w:val="30"/>
          <w:szCs w:val="30"/>
        </w:rPr>
        <w:t>，综合水泵房112.5m</w:t>
      </w:r>
      <w:r>
        <w:rPr>
          <w:rFonts w:ascii="仿宋_GB2312" w:hAnsi="仿宋_GB2312" w:eastAsia="仿宋_GB2312" w:cs="Times New Roman"/>
          <w:sz w:val="30"/>
          <w:szCs w:val="30"/>
          <w:vertAlign w:val="superscript"/>
        </w:rPr>
        <w:t>2</w:t>
      </w:r>
      <w:r>
        <w:rPr>
          <w:rFonts w:ascii="仿宋_GB2312" w:hAnsi="仿宋_GB2312" w:eastAsia="仿宋_GB2312" w:cs="Times New Roman"/>
          <w:sz w:val="30"/>
          <w:szCs w:val="30"/>
        </w:rPr>
        <w:t>，综合配电间460</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25m</w:t>
      </w:r>
      <w:r>
        <w:rPr>
          <w:rFonts w:ascii="仿宋_GB2312" w:hAnsi="仿宋_GB2312" w:eastAsia="仿宋_GB2312" w:cs="Times New Roman"/>
          <w:sz w:val="30"/>
          <w:szCs w:val="30"/>
          <w:vertAlign w:val="superscript"/>
        </w:rPr>
        <w:t>2</w:t>
      </w:r>
      <w:r>
        <w:rPr>
          <w:rFonts w:ascii="仿宋_GB2312" w:hAnsi="仿宋_GB2312" w:eastAsia="仿宋_GB2312" w:cs="Times New Roman"/>
          <w:sz w:val="30"/>
          <w:szCs w:val="30"/>
        </w:rPr>
        <w:t>，SVG配电间119m</w:t>
      </w:r>
      <w:r>
        <w:rPr>
          <w:rFonts w:ascii="仿宋_GB2312" w:hAnsi="仿宋_GB2312" w:eastAsia="仿宋_GB2312" w:cs="Times New Roman"/>
          <w:sz w:val="30"/>
          <w:szCs w:val="30"/>
          <w:vertAlign w:val="superscript"/>
        </w:rPr>
        <w:t>2</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材料库</w:t>
      </w:r>
      <w:r>
        <w:rPr>
          <w:rFonts w:ascii="仿宋_GB2312" w:hAnsi="仿宋_GB2312" w:eastAsia="仿宋_GB2312" w:cs="Times New Roman"/>
          <w:sz w:val="30"/>
          <w:szCs w:val="30"/>
        </w:rPr>
        <w:t>54m</w:t>
      </w:r>
      <w:r>
        <w:rPr>
          <w:rFonts w:ascii="仿宋_GB2312" w:hAnsi="仿宋_GB2312" w:eastAsia="仿宋_GB2312" w:cs="Times New Roman"/>
          <w:sz w:val="30"/>
          <w:szCs w:val="30"/>
          <w:vertAlign w:val="superscript"/>
        </w:rPr>
        <w:t>2</w:t>
      </w:r>
      <w:r>
        <w:rPr>
          <w:rFonts w:ascii="仿宋_GB2312" w:hAnsi="仿宋_GB2312" w:eastAsia="仿宋_GB2312" w:cs="Times New Roman"/>
          <w:sz w:val="30"/>
          <w:szCs w:val="30"/>
        </w:rPr>
        <w:t>，总建筑面积1615</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05m</w:t>
      </w:r>
      <w:r>
        <w:rPr>
          <w:rFonts w:ascii="仿宋_GB2312" w:hAnsi="仿宋_GB2312" w:eastAsia="仿宋_GB2312" w:cs="Times New Roman"/>
          <w:sz w:val="30"/>
          <w:szCs w:val="30"/>
          <w:vertAlign w:val="superscript"/>
        </w:rPr>
        <w:t>2</w:t>
      </w:r>
      <w:r>
        <w:rPr>
          <w:rFonts w:ascii="仿宋_GB2312" w:hAnsi="仿宋_GB2312" w:eastAsia="仿宋_GB2312" w:cs="Times New Roman"/>
          <w:sz w:val="30"/>
          <w:szCs w:val="30"/>
        </w:rPr>
        <w:t>，基本满足《中国华电集团“远程集控，少人维护”风力发电典型设计》的要求。</w:t>
      </w:r>
    </w:p>
    <w:p w14:paraId="44D2EEFE">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同意生产综合楼、电气综合配电室、综合水泵房采用钢筋混凝土框架结构，现浇钢筋混凝土梁、板，柱下独立基础，墙体采用机制多孔砖维护结构。地下水池、事故油池采用钢筋混凝土箱形结构。SVG配电室和油品库采用砖混结构。</w:t>
      </w:r>
    </w:p>
    <w:p w14:paraId="3018AAAE">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4</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同意主变压器及接地变等基础采用钢筋混凝土板式基础。</w:t>
      </w:r>
    </w:p>
    <w:p w14:paraId="69383E2E">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5</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同意110kV架构、主变架构采用钢筋混凝土环形杆，三角形空间钢桁架梁，素混凝土杯形基础。设备支架柱采用钢筋混凝土环形杆，素混凝土杯形基础。钢构件采用整体热镀锌防腐。</w:t>
      </w:r>
    </w:p>
    <w:p w14:paraId="013F3EF4">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6</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同意升压站主要建筑构筑物地基处理采用2：8灰土回填。</w:t>
      </w:r>
    </w:p>
    <w:p w14:paraId="4319AED4">
      <w:pPr>
        <w:pStyle w:val="2"/>
        <w:keepNext/>
        <w:keepLines/>
        <w:adjustRightInd w:val="0"/>
        <w:spacing w:beforeLines="0" w:afterLines="0"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九、施工组织部分</w:t>
      </w:r>
    </w:p>
    <w:p w14:paraId="66B348B0">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（一）施工用电从附近村庄引接，引接距离约</w:t>
      </w:r>
      <w:r>
        <w:rPr>
          <w:rFonts w:ascii="仿宋_GB2312" w:hAnsi="仿宋_GB2312" w:eastAsia="仿宋_GB2312" w:cs="Times New Roman"/>
          <w:sz w:val="30"/>
          <w:szCs w:val="30"/>
        </w:rPr>
        <w:t>10km。各风机机位施工采用移动式柴油发电机组。</w:t>
      </w:r>
    </w:p>
    <w:p w14:paraId="7657E2B0">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（二）本工程施工用水采用水车拉水方式。</w:t>
      </w:r>
    </w:p>
    <w:p w14:paraId="464293CC">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（三）原则同意施工期间主吊设备采用8</w:t>
      </w:r>
      <w:r>
        <w:rPr>
          <w:rFonts w:ascii="仿宋_GB2312" w:hAnsi="仿宋_GB2312" w:eastAsia="仿宋_GB2312" w:cs="Times New Roman"/>
          <w:sz w:val="30"/>
          <w:szCs w:val="30"/>
        </w:rPr>
        <w:t>00</w:t>
      </w:r>
      <w:r>
        <w:rPr>
          <w:rFonts w:hint="eastAsia" w:ascii="仿宋_GB2312" w:hAnsi="仿宋_GB2312" w:eastAsia="仿宋_GB2312" w:cs="Times New Roman"/>
          <w:sz w:val="30"/>
          <w:szCs w:val="30"/>
        </w:rPr>
        <w:t>t汽车吊,请项目公司下阶段根据实际中标结果复核吊具</w:t>
      </w:r>
      <w:r>
        <w:rPr>
          <w:rFonts w:ascii="仿宋_GB2312" w:hAnsi="仿宋_GB2312" w:eastAsia="仿宋_GB2312" w:cs="Times New Roman"/>
          <w:sz w:val="30"/>
          <w:szCs w:val="30"/>
        </w:rPr>
        <w:t>。</w:t>
      </w:r>
    </w:p>
    <w:p w14:paraId="2B4AFEFB">
      <w:pPr>
        <w:keepNext/>
        <w:keepLines/>
        <w:adjustRightInd w:val="0"/>
        <w:snapToGrid w:val="0"/>
        <w:spacing w:beforeLines="0" w:afterLines="0" w:line="560" w:lineRule="exact"/>
        <w:ind w:firstLine="600" w:firstLineChars="200"/>
        <w:outlineLvl w:val="0"/>
        <w:rPr>
          <w:rFonts w:ascii="黑体" w:hAnsi="黑体" w:eastAsia="黑体" w:cs="黑体"/>
          <w:bCs/>
          <w:kern w:val="44"/>
          <w:sz w:val="30"/>
          <w:szCs w:val="30"/>
        </w:rPr>
      </w:pPr>
      <w:r>
        <w:rPr>
          <w:rFonts w:ascii="黑体" w:hAnsi="黑体" w:eastAsia="黑体" w:cs="黑体"/>
          <w:bCs/>
          <w:kern w:val="44"/>
          <w:sz w:val="30"/>
          <w:szCs w:val="30"/>
        </w:rPr>
        <w:t>十、采暖通风、给排水及消防部分</w:t>
      </w:r>
    </w:p>
    <w:p w14:paraId="6507AAEA">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（一）</w:t>
      </w:r>
      <w:r>
        <w:rPr>
          <w:rFonts w:hint="eastAsia" w:ascii="仿宋_GB2312" w:hAnsi="仿宋_GB2312" w:eastAsia="仿宋_GB2312" w:cs="Times New Roman"/>
          <w:sz w:val="30"/>
          <w:szCs w:val="30"/>
        </w:rPr>
        <w:t>同意本阶段水源按采用水车外运自来水供给站区使用方案。</w:t>
      </w:r>
    </w:p>
    <w:p w14:paraId="45FAD7BC">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（二）同意生活污水设独立的排水系统，雨水沿地表外排，不设雨水排水管网系统。</w:t>
      </w:r>
    </w:p>
    <w:p w14:paraId="50D28A27">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三</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原则同意升压站内设置水消防系统。</w:t>
      </w:r>
    </w:p>
    <w:p w14:paraId="3B2DB12B">
      <w:pPr>
        <w:pStyle w:val="2"/>
        <w:keepNext/>
        <w:keepLines/>
        <w:adjustRightInd w:val="0"/>
        <w:spacing w:beforeLines="0" w:afterLines="0"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十</w:t>
      </w:r>
      <w:r>
        <w:rPr>
          <w:rFonts w:hint="eastAsia" w:ascii="黑体" w:hAnsi="黑体" w:eastAsia="黑体" w:cs="黑体"/>
          <w:b w:val="0"/>
          <w:bCs/>
          <w:color w:val="auto"/>
          <w:kern w:val="44"/>
          <w:sz w:val="30"/>
          <w:szCs w:val="30"/>
          <w:lang w:val="en-US"/>
        </w:rPr>
        <w:t>一</w:t>
      </w:r>
      <w:r>
        <w:rPr>
          <w:rFonts w:ascii="黑体" w:hAnsi="黑体" w:eastAsia="黑体" w:cs="黑体"/>
          <w:b w:val="0"/>
          <w:bCs/>
          <w:color w:val="auto"/>
          <w:kern w:val="44"/>
          <w:sz w:val="30"/>
          <w:szCs w:val="30"/>
          <w:lang w:val="en-US"/>
        </w:rPr>
        <w:t>、环境保护及水土保持部分</w:t>
      </w:r>
    </w:p>
    <w:p w14:paraId="6A3FAE69">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（一）本工程已取得环保批复。</w:t>
      </w:r>
    </w:p>
    <w:p w14:paraId="0854A122">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（二）本工程水保批复已过期</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项目公司已重新编制水保专题报告，请项目公司开工前重新取得水保批复。</w:t>
      </w:r>
    </w:p>
    <w:p w14:paraId="7AC7723D">
      <w:pPr>
        <w:autoSpaceDE w:val="0"/>
        <w:autoSpaceDN w:val="0"/>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（三）请设计单位和项目公司在下阶段根据环评、水保的批复文件做好相关工作。</w:t>
      </w:r>
    </w:p>
    <w:p w14:paraId="774F7AD7">
      <w:pPr>
        <w:pStyle w:val="2"/>
        <w:keepNext/>
        <w:keepLines/>
        <w:adjustRightInd w:val="0"/>
        <w:spacing w:beforeLines="0" w:afterLines="0"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十</w:t>
      </w:r>
      <w:r>
        <w:rPr>
          <w:rFonts w:hint="eastAsia" w:ascii="黑体" w:hAnsi="黑体" w:eastAsia="黑体" w:cs="黑体"/>
          <w:b w:val="0"/>
          <w:bCs/>
          <w:color w:val="auto"/>
          <w:kern w:val="44"/>
          <w:sz w:val="30"/>
          <w:szCs w:val="30"/>
          <w:lang w:val="en-US"/>
        </w:rPr>
        <w:t>二</w:t>
      </w:r>
      <w:r>
        <w:rPr>
          <w:rFonts w:ascii="黑体" w:hAnsi="黑体" w:eastAsia="黑体" w:cs="黑体"/>
          <w:b w:val="0"/>
          <w:bCs/>
          <w:color w:val="auto"/>
          <w:kern w:val="44"/>
          <w:sz w:val="30"/>
          <w:szCs w:val="30"/>
          <w:lang w:val="en-US"/>
        </w:rPr>
        <w:t>、</w:t>
      </w:r>
      <w:r>
        <w:rPr>
          <w:rFonts w:hint="eastAsia" w:ascii="黑体" w:hAnsi="黑体" w:eastAsia="黑体" w:cs="黑体"/>
          <w:b w:val="0"/>
          <w:bCs/>
          <w:color w:val="auto"/>
          <w:kern w:val="44"/>
          <w:sz w:val="30"/>
          <w:szCs w:val="30"/>
          <w:lang w:val="en-US"/>
        </w:rPr>
        <w:t>概算</w:t>
      </w:r>
      <w:r>
        <w:rPr>
          <w:rFonts w:ascii="黑体" w:hAnsi="黑体" w:eastAsia="黑体" w:cs="黑体"/>
          <w:b w:val="0"/>
          <w:bCs/>
          <w:color w:val="auto"/>
          <w:kern w:val="44"/>
          <w:sz w:val="30"/>
          <w:szCs w:val="30"/>
          <w:lang w:val="en-US"/>
        </w:rPr>
        <w:t>部分</w:t>
      </w:r>
    </w:p>
    <w:p w14:paraId="3206293D">
      <w:pPr>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（一）原则同意本次概算的编制原则及依据，费用标准和定额体系采用《陆上风电场工程设计概算编制规定及费用标准》（</w:t>
      </w:r>
      <w:r>
        <w:rPr>
          <w:rFonts w:ascii="仿宋_GB2312" w:hAnsi="仿宋_GB2312" w:eastAsia="仿宋_GB2312" w:cs="Times New Roman"/>
          <w:sz w:val="30"/>
          <w:szCs w:val="30"/>
        </w:rPr>
        <w:t>2011年版）和《陆上风电场工程概算定额》（2011年版），静态投资价格水平年采用2019年第一季度。</w:t>
      </w:r>
    </w:p>
    <w:p w14:paraId="5392418F">
      <w:pPr>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（二）原则同意风电机组按</w:t>
      </w:r>
      <w:r>
        <w:rPr>
          <w:rFonts w:ascii="仿宋_GB2312" w:hAnsi="仿宋_GB2312" w:eastAsia="仿宋_GB2312" w:cs="Times New Roman"/>
          <w:sz w:val="30"/>
          <w:szCs w:val="30"/>
        </w:rPr>
        <w:t>3700元/kW，塔筒按10500元/吨计列，其他设备价格参考近期同类工程价格水平计算。</w:t>
      </w:r>
    </w:p>
    <w:p w14:paraId="58B7FA72">
      <w:pPr>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（三）本工程静态总投资</w:t>
      </w:r>
      <w:r>
        <w:rPr>
          <w:rFonts w:ascii="仿宋_GB2312" w:hAnsi="仿宋_GB2312" w:eastAsia="仿宋_GB2312" w:cs="Times New Roman"/>
          <w:sz w:val="30"/>
          <w:szCs w:val="30"/>
        </w:rPr>
        <w:t>42404.76万元，单位千瓦静态投资8314.66元/kW；建设期贷款利息783.33万元，工程动态总投资43188.09万元，单位千瓦动态投资8468.25元/kW。</w:t>
      </w:r>
      <w:bookmarkStart w:id="0" w:name="_Hlk16236452"/>
      <w:r>
        <w:rPr>
          <w:rFonts w:ascii="仿宋_GB2312" w:hAnsi="仿宋_GB2312" w:eastAsia="仿宋_GB2312" w:cs="Times New Roman"/>
          <w:sz w:val="30"/>
          <w:szCs w:val="30"/>
        </w:rPr>
        <w:t>吉山梁升压站（分摊一半费用）858.97万元，110kV联络线(分摊一半费用）2522.25万元，特殊费用建设期利息62.46万元，工程总投资46631.77万元，单位千瓦总投资9143.48元/kW。</w:t>
      </w:r>
    </w:p>
    <w:bookmarkEnd w:id="0"/>
    <w:p w14:paraId="6D86BEF3">
      <w:pPr>
        <w:adjustRightInd w:val="0"/>
        <w:snapToGrid w:val="0"/>
        <w:spacing w:beforeLines="0" w:afterLines="0"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（四）根据《关于印发中国华电集团公司风电（光伏发电）项目概算指标（</w:t>
      </w:r>
      <w:r>
        <w:rPr>
          <w:rFonts w:ascii="仿宋_GB2312" w:hAnsi="仿宋_GB2312" w:eastAsia="仿宋_GB2312" w:cs="Times New Roman"/>
          <w:sz w:val="30"/>
          <w:szCs w:val="30"/>
        </w:rPr>
        <w:t>2017年版）的通知》，集团公司发布的2018年陕西区域风电项目基准标杆概算指标为8050元/kW，相较于概算指标多418元/kW。主要原因如下：主机价格由3500元/kW</w:t>
      </w:r>
      <w:r>
        <w:rPr>
          <w:rFonts w:hint="eastAsia" w:ascii="仿宋_GB2312" w:hAnsi="仿宋_GB2312" w:eastAsia="仿宋_GB2312" w:cs="Times New Roman"/>
          <w:sz w:val="30"/>
          <w:szCs w:val="30"/>
          <w:lang w:val="en-US" w:eastAsia="zh-CN"/>
        </w:rPr>
        <w:t>调整</w:t>
      </w:r>
      <w:r>
        <w:rPr>
          <w:rFonts w:ascii="仿宋_GB2312" w:hAnsi="仿宋_GB2312" w:eastAsia="仿宋_GB2312" w:cs="Times New Roman"/>
          <w:sz w:val="30"/>
          <w:szCs w:val="30"/>
        </w:rPr>
        <w:t>为3700元/kW，较概算指标增加200元/kW，风电机组基础较概算指标增加300元/kW。场内道路39.75km投资较大，较概算指标增加245元/kW。剔除以上三项因素，动态投资为7723元/kW，低于陕西区域8050元/kW的概算指标。</w:t>
      </w:r>
    </w:p>
    <w:p w14:paraId="214571DE">
      <w:pPr>
        <w:pStyle w:val="2"/>
        <w:keepNext/>
        <w:keepLines/>
        <w:adjustRightInd w:val="0"/>
        <w:spacing w:beforeLines="0" w:afterLines="0"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十</w:t>
      </w:r>
      <w:r>
        <w:rPr>
          <w:rFonts w:hint="eastAsia" w:ascii="黑体" w:hAnsi="黑体" w:eastAsia="黑体" w:cs="黑体"/>
          <w:b w:val="0"/>
          <w:bCs/>
          <w:color w:val="auto"/>
          <w:kern w:val="44"/>
          <w:sz w:val="30"/>
          <w:szCs w:val="30"/>
          <w:lang w:val="en-US"/>
        </w:rPr>
        <w:t>三</w:t>
      </w:r>
      <w:r>
        <w:rPr>
          <w:rFonts w:ascii="黑体" w:hAnsi="黑体" w:eastAsia="黑体" w:cs="黑体"/>
          <w:b w:val="0"/>
          <w:bCs/>
          <w:color w:val="auto"/>
          <w:kern w:val="44"/>
          <w:sz w:val="30"/>
          <w:szCs w:val="30"/>
          <w:lang w:val="en-US"/>
        </w:rPr>
        <w:t>、</w:t>
      </w:r>
      <w:r>
        <w:rPr>
          <w:rFonts w:hint="eastAsia" w:ascii="黑体" w:hAnsi="黑体" w:eastAsia="黑体" w:cs="黑体"/>
          <w:b w:val="0"/>
          <w:bCs/>
          <w:color w:val="auto"/>
          <w:kern w:val="44"/>
          <w:sz w:val="30"/>
          <w:szCs w:val="30"/>
          <w:lang w:val="en-US"/>
        </w:rPr>
        <w:t>财务评价</w:t>
      </w:r>
      <w:r>
        <w:rPr>
          <w:rFonts w:ascii="黑体" w:hAnsi="黑体" w:eastAsia="黑体" w:cs="黑体"/>
          <w:b w:val="0"/>
          <w:bCs/>
          <w:color w:val="auto"/>
          <w:kern w:val="44"/>
          <w:sz w:val="30"/>
          <w:szCs w:val="30"/>
          <w:lang w:val="en-US"/>
        </w:rPr>
        <w:t>部分</w:t>
      </w:r>
    </w:p>
    <w:p w14:paraId="3DD7E021">
      <w:pPr>
        <w:widowControl/>
        <w:adjustRightInd w:val="0"/>
        <w:snapToGrid w:val="0"/>
        <w:spacing w:beforeLines="0" w:afterLines="0" w:line="560" w:lineRule="exact"/>
        <w:ind w:firstLine="600" w:firstLineChars="200"/>
        <w:rPr>
          <w:rFonts w:ascii="仿宋_GB2312" w:eastAsia="仿宋_GB2312"/>
          <w:bCs/>
          <w:sz w:val="30"/>
          <w:szCs w:val="30"/>
        </w:rPr>
      </w:pPr>
      <w:r>
        <w:rPr>
          <w:rFonts w:hint="eastAsia" w:ascii="仿宋_GB2312" w:eastAsia="仿宋_GB2312"/>
          <w:bCs/>
          <w:sz w:val="30"/>
          <w:szCs w:val="30"/>
        </w:rPr>
        <w:t>（一）评价结论</w:t>
      </w:r>
    </w:p>
    <w:p w14:paraId="636C0CB2">
      <w:pPr>
        <w:widowControl/>
        <w:adjustRightInd w:val="0"/>
        <w:snapToGrid w:val="0"/>
        <w:spacing w:beforeLines="0" w:afterLines="0" w:line="560" w:lineRule="exact"/>
        <w:ind w:firstLine="600" w:firstLineChars="200"/>
        <w:rPr>
          <w:rFonts w:ascii="仿宋_GB2312" w:eastAsia="仿宋_GB2312"/>
          <w:bCs/>
          <w:sz w:val="30"/>
          <w:szCs w:val="30"/>
        </w:rPr>
      </w:pPr>
      <w:r>
        <w:rPr>
          <w:rFonts w:hint="eastAsia" w:ascii="仿宋_GB2312" w:eastAsia="仿宋_GB2312"/>
          <w:bCs/>
          <w:sz w:val="30"/>
          <w:szCs w:val="30"/>
        </w:rPr>
        <w:t>根据审定的可研工程概算投资，本工程静态投资42404.76万元，动态投资为</w:t>
      </w:r>
      <w:r>
        <w:rPr>
          <w:rFonts w:ascii="仿宋_GB2312" w:eastAsia="仿宋_GB2312"/>
          <w:bCs/>
          <w:sz w:val="30"/>
          <w:szCs w:val="30"/>
        </w:rPr>
        <w:t>43188.09</w:t>
      </w:r>
      <w:r>
        <w:rPr>
          <w:rFonts w:hint="eastAsia" w:ascii="仿宋_GB2312" w:eastAsia="仿宋_GB2312"/>
          <w:bCs/>
          <w:sz w:val="30"/>
          <w:szCs w:val="30"/>
        </w:rPr>
        <w:t>万元，升压站及联络线投资</w:t>
      </w:r>
      <w:r>
        <w:rPr>
          <w:rFonts w:ascii="仿宋_GB2312" w:eastAsia="仿宋_GB2312"/>
          <w:bCs/>
          <w:sz w:val="30"/>
          <w:szCs w:val="30"/>
        </w:rPr>
        <w:t>3443</w:t>
      </w:r>
      <w:r>
        <w:rPr>
          <w:rFonts w:hint="eastAsia" w:ascii="仿宋_GB2312" w:eastAsia="仿宋_GB2312"/>
          <w:bCs/>
          <w:sz w:val="30"/>
          <w:szCs w:val="30"/>
        </w:rPr>
        <w:t>.</w:t>
      </w:r>
      <w:r>
        <w:rPr>
          <w:rFonts w:ascii="仿宋_GB2312" w:eastAsia="仿宋_GB2312"/>
          <w:bCs/>
          <w:sz w:val="30"/>
          <w:szCs w:val="30"/>
        </w:rPr>
        <w:t>68</w:t>
      </w:r>
      <w:r>
        <w:rPr>
          <w:rFonts w:hint="eastAsia" w:ascii="仿宋_GB2312" w:eastAsia="仿宋_GB2312"/>
          <w:bCs/>
          <w:sz w:val="30"/>
          <w:szCs w:val="30"/>
        </w:rPr>
        <w:t>万元，资本金占总投资的30%。根据集团公司经济评价办法规定的相关参数，按上网电价0.57元/kWh、年均等效利用小时2027h等边界条件，测算的项目资本金内部收益率为8.94%，满足集团公司投资收益要求。</w:t>
      </w:r>
    </w:p>
    <w:p w14:paraId="037B604C">
      <w:pPr>
        <w:widowControl/>
        <w:adjustRightInd w:val="0"/>
        <w:snapToGrid w:val="0"/>
        <w:spacing w:beforeLines="0" w:afterLines="0" w:line="560" w:lineRule="exact"/>
        <w:ind w:firstLine="600" w:firstLineChars="200"/>
        <w:rPr>
          <w:rFonts w:ascii="仿宋_GB2312" w:eastAsia="仿宋_GB2312"/>
          <w:bCs/>
          <w:sz w:val="30"/>
          <w:szCs w:val="30"/>
        </w:rPr>
      </w:pPr>
      <w:r>
        <w:rPr>
          <w:rFonts w:hint="eastAsia" w:ascii="仿宋_GB2312" w:eastAsia="仿宋_GB2312"/>
          <w:bCs/>
          <w:sz w:val="30"/>
          <w:szCs w:val="30"/>
        </w:rPr>
        <w:t>若按上述投资、利用小时等主要边界条件反算，本工程上网电价（含税）需达到0.5540元/kWh即能实现项目资本金内部收益率不低于8%。</w:t>
      </w:r>
    </w:p>
    <w:p w14:paraId="2E289086">
      <w:pPr>
        <w:widowControl/>
        <w:adjustRightInd w:val="0"/>
        <w:snapToGrid w:val="0"/>
        <w:spacing w:beforeLines="0" w:afterLines="0" w:line="560" w:lineRule="exact"/>
        <w:ind w:firstLine="600" w:firstLineChars="200"/>
        <w:rPr>
          <w:rFonts w:ascii="仿宋_GB2312" w:eastAsia="仿宋_GB2312"/>
          <w:bCs/>
          <w:sz w:val="30"/>
          <w:szCs w:val="30"/>
        </w:rPr>
      </w:pPr>
      <w:r>
        <w:rPr>
          <w:rFonts w:hint="eastAsia" w:ascii="仿宋_GB2312" w:eastAsia="仿宋_GB2312"/>
          <w:bCs/>
          <w:sz w:val="30"/>
          <w:szCs w:val="30"/>
        </w:rPr>
        <w:t>（二）敏感性分析与风险提示</w:t>
      </w:r>
    </w:p>
    <w:p w14:paraId="0A2D9AD1">
      <w:pPr>
        <w:widowControl/>
        <w:adjustRightInd w:val="0"/>
        <w:snapToGrid w:val="0"/>
        <w:spacing w:beforeLines="0" w:afterLines="0" w:line="560" w:lineRule="exact"/>
        <w:ind w:firstLine="600" w:firstLineChars="200"/>
        <w:rPr>
          <w:rFonts w:ascii="仿宋_GB2312" w:eastAsia="仿宋_GB2312"/>
          <w:bCs/>
          <w:sz w:val="30"/>
          <w:szCs w:val="30"/>
        </w:rPr>
      </w:pPr>
      <w:r>
        <w:rPr>
          <w:rFonts w:hint="eastAsia" w:ascii="仿宋_GB2312" w:eastAsia="仿宋_GB2312"/>
          <w:bCs/>
          <w:sz w:val="30"/>
          <w:szCs w:val="30"/>
        </w:rPr>
        <w:t>1. 考虑项目建设动态总投资、发电量、电价、利率等单因素发生+10%、+5%、-5%、-10%的变化时对项目资本金内部收益率的影响，详见下表。</w:t>
      </w:r>
    </w:p>
    <w:tbl>
      <w:tblPr>
        <w:tblStyle w:val="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2475"/>
        <w:gridCol w:w="3399"/>
      </w:tblGrid>
      <w:tr w14:paraId="1BB7B95F">
        <w:trPr>
          <w:trHeight w:val="567" w:hRule="atLeast"/>
          <w:tblHeader/>
          <w:jc w:val="center"/>
        </w:trPr>
        <w:tc>
          <w:tcPr>
            <w:tcW w:w="2648" w:type="dxa"/>
            <w:shd w:val="clear" w:color="auto" w:fill="FFFFFF"/>
            <w:vAlign w:val="center"/>
          </w:tcPr>
          <w:p w14:paraId="5331F916">
            <w:pPr>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变化因素</w:t>
            </w:r>
          </w:p>
        </w:tc>
        <w:tc>
          <w:tcPr>
            <w:tcW w:w="2475" w:type="dxa"/>
            <w:shd w:val="clear" w:color="auto" w:fill="FFFFFF"/>
            <w:vAlign w:val="center"/>
          </w:tcPr>
          <w:p w14:paraId="2675ACEE">
            <w:pPr>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变化率</w:t>
            </w:r>
          </w:p>
        </w:tc>
        <w:tc>
          <w:tcPr>
            <w:tcW w:w="3399" w:type="dxa"/>
            <w:shd w:val="clear" w:color="auto" w:fill="FFFFFF"/>
            <w:vAlign w:val="center"/>
          </w:tcPr>
          <w:p w14:paraId="63837423">
            <w:pPr>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资本金内部收益率（%）</w:t>
            </w:r>
          </w:p>
        </w:tc>
      </w:tr>
      <w:tr w14:paraId="57BFCE94">
        <w:trPr>
          <w:trHeight w:val="567" w:hRule="atLeast"/>
          <w:jc w:val="center"/>
        </w:trPr>
        <w:tc>
          <w:tcPr>
            <w:tcW w:w="5123" w:type="dxa"/>
            <w:gridSpan w:val="2"/>
            <w:shd w:val="clear" w:color="auto" w:fill="FFFFFF"/>
            <w:vAlign w:val="center"/>
          </w:tcPr>
          <w:p w14:paraId="56D3CDD3">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基准值（%）</w:t>
            </w:r>
          </w:p>
        </w:tc>
        <w:tc>
          <w:tcPr>
            <w:tcW w:w="3399" w:type="dxa"/>
            <w:shd w:val="clear" w:color="auto" w:fill="FFFFFF"/>
            <w:vAlign w:val="center"/>
          </w:tcPr>
          <w:p w14:paraId="45AF5EFC">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8.94</w:t>
            </w:r>
          </w:p>
        </w:tc>
      </w:tr>
      <w:tr w14:paraId="2E2B2B6F">
        <w:trPr>
          <w:cantSplit/>
          <w:trHeight w:val="567" w:hRule="atLeast"/>
          <w:jc w:val="center"/>
        </w:trPr>
        <w:tc>
          <w:tcPr>
            <w:tcW w:w="2648" w:type="dxa"/>
            <w:vMerge w:val="restart"/>
            <w:shd w:val="clear" w:color="auto" w:fill="FFFFFF"/>
            <w:vAlign w:val="center"/>
          </w:tcPr>
          <w:p w14:paraId="51601EA2">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投资额</w:t>
            </w:r>
          </w:p>
        </w:tc>
        <w:tc>
          <w:tcPr>
            <w:tcW w:w="2475" w:type="dxa"/>
            <w:shd w:val="clear" w:color="auto" w:fill="FFFFFF"/>
            <w:vAlign w:val="center"/>
          </w:tcPr>
          <w:p w14:paraId="4FE4C40E">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center"/>
          </w:tcPr>
          <w:p w14:paraId="2227C3AB">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12.39</w:t>
            </w:r>
          </w:p>
        </w:tc>
      </w:tr>
      <w:tr w14:paraId="4AF2260A">
        <w:trPr>
          <w:cantSplit/>
          <w:trHeight w:val="567" w:hRule="atLeast"/>
          <w:jc w:val="center"/>
        </w:trPr>
        <w:tc>
          <w:tcPr>
            <w:tcW w:w="2648" w:type="dxa"/>
            <w:vMerge w:val="continue"/>
            <w:shd w:val="clear" w:color="auto" w:fill="FFFFFF"/>
            <w:vAlign w:val="center"/>
          </w:tcPr>
          <w:p w14:paraId="24B2DA42">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14:paraId="4578CB59">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center"/>
          </w:tcPr>
          <w:p w14:paraId="3B21E9F8">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10.56</w:t>
            </w:r>
          </w:p>
        </w:tc>
      </w:tr>
      <w:tr w14:paraId="1AC7F185">
        <w:trPr>
          <w:cantSplit/>
          <w:trHeight w:val="567" w:hRule="atLeast"/>
          <w:jc w:val="center"/>
        </w:trPr>
        <w:tc>
          <w:tcPr>
            <w:tcW w:w="2648" w:type="dxa"/>
            <w:vMerge w:val="continue"/>
            <w:shd w:val="clear" w:color="auto" w:fill="FFFFFF"/>
            <w:vAlign w:val="center"/>
          </w:tcPr>
          <w:p w14:paraId="1DEDAEE8">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14:paraId="7ED7C1FC">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center"/>
          </w:tcPr>
          <w:p w14:paraId="798E3053">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7.48</w:t>
            </w:r>
          </w:p>
        </w:tc>
      </w:tr>
      <w:tr w14:paraId="4BE6333E">
        <w:trPr>
          <w:cantSplit/>
          <w:trHeight w:val="567" w:hRule="atLeast"/>
          <w:jc w:val="center"/>
        </w:trPr>
        <w:tc>
          <w:tcPr>
            <w:tcW w:w="2648" w:type="dxa"/>
            <w:vMerge w:val="continue"/>
            <w:shd w:val="clear" w:color="auto" w:fill="FFFFFF"/>
            <w:vAlign w:val="center"/>
          </w:tcPr>
          <w:p w14:paraId="14F28018">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14:paraId="3B02DCC8">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center"/>
          </w:tcPr>
          <w:p w14:paraId="239A5E55">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6.18</w:t>
            </w:r>
          </w:p>
        </w:tc>
      </w:tr>
      <w:tr w14:paraId="135D894B">
        <w:trPr>
          <w:cantSplit/>
          <w:trHeight w:val="567" w:hRule="atLeast"/>
          <w:jc w:val="center"/>
        </w:trPr>
        <w:tc>
          <w:tcPr>
            <w:tcW w:w="2648" w:type="dxa"/>
            <w:vMerge w:val="restart"/>
            <w:shd w:val="clear" w:color="auto" w:fill="FFFFFF"/>
            <w:vAlign w:val="center"/>
          </w:tcPr>
          <w:p w14:paraId="5FDDFACB">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年均发电量</w:t>
            </w:r>
          </w:p>
          <w:p w14:paraId="3A1247B4">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（或上网电价）</w:t>
            </w:r>
          </w:p>
        </w:tc>
        <w:tc>
          <w:tcPr>
            <w:tcW w:w="2475" w:type="dxa"/>
            <w:shd w:val="clear" w:color="auto" w:fill="FFFFFF"/>
            <w:vAlign w:val="center"/>
          </w:tcPr>
          <w:p w14:paraId="43FFF379">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center"/>
          </w:tcPr>
          <w:p w14:paraId="428B42A9">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5.64</w:t>
            </w:r>
          </w:p>
        </w:tc>
      </w:tr>
      <w:tr w14:paraId="21AFE8AC">
        <w:trPr>
          <w:cantSplit/>
          <w:trHeight w:val="567" w:hRule="atLeast"/>
          <w:jc w:val="center"/>
        </w:trPr>
        <w:tc>
          <w:tcPr>
            <w:tcW w:w="2648" w:type="dxa"/>
            <w:vMerge w:val="continue"/>
            <w:shd w:val="clear" w:color="auto" w:fill="FFFFFF"/>
            <w:vAlign w:val="center"/>
          </w:tcPr>
          <w:p w14:paraId="69DFF1A3">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14:paraId="6F8F81FC">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center"/>
          </w:tcPr>
          <w:p w14:paraId="78EC43DA">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7.28</w:t>
            </w:r>
          </w:p>
        </w:tc>
      </w:tr>
      <w:tr w14:paraId="3D675652">
        <w:trPr>
          <w:cantSplit/>
          <w:trHeight w:val="567" w:hRule="atLeast"/>
          <w:jc w:val="center"/>
        </w:trPr>
        <w:tc>
          <w:tcPr>
            <w:tcW w:w="2648" w:type="dxa"/>
            <w:vMerge w:val="continue"/>
            <w:shd w:val="clear" w:color="auto" w:fill="FFFFFF"/>
            <w:vAlign w:val="center"/>
          </w:tcPr>
          <w:p w14:paraId="683D6265">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14:paraId="4F81C8C6">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center"/>
          </w:tcPr>
          <w:p w14:paraId="60AEFEF8">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10.62</w:t>
            </w:r>
          </w:p>
        </w:tc>
      </w:tr>
      <w:tr w14:paraId="31BDA3E7">
        <w:trPr>
          <w:cantSplit/>
          <w:trHeight w:val="567" w:hRule="atLeast"/>
          <w:jc w:val="center"/>
        </w:trPr>
        <w:tc>
          <w:tcPr>
            <w:tcW w:w="2648" w:type="dxa"/>
            <w:vMerge w:val="continue"/>
            <w:shd w:val="clear" w:color="auto" w:fill="FFFFFF"/>
            <w:vAlign w:val="center"/>
          </w:tcPr>
          <w:p w14:paraId="0741C665">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14:paraId="6DA529D1">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center"/>
          </w:tcPr>
          <w:p w14:paraId="7F4B592E">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12.34</w:t>
            </w:r>
          </w:p>
        </w:tc>
      </w:tr>
      <w:tr w14:paraId="04886303">
        <w:trPr>
          <w:cantSplit/>
          <w:trHeight w:val="567" w:hRule="atLeast"/>
          <w:jc w:val="center"/>
        </w:trPr>
        <w:tc>
          <w:tcPr>
            <w:tcW w:w="2648" w:type="dxa"/>
            <w:vMerge w:val="restart"/>
            <w:shd w:val="clear" w:color="auto" w:fill="FFFFFF"/>
            <w:vAlign w:val="center"/>
          </w:tcPr>
          <w:p w14:paraId="17DA366A">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利率</w:t>
            </w:r>
          </w:p>
        </w:tc>
        <w:tc>
          <w:tcPr>
            <w:tcW w:w="2475" w:type="dxa"/>
            <w:shd w:val="clear" w:color="auto" w:fill="FFFFFF"/>
            <w:vAlign w:val="center"/>
          </w:tcPr>
          <w:p w14:paraId="397FE297">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center"/>
          </w:tcPr>
          <w:p w14:paraId="53FB096A">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9.67</w:t>
            </w:r>
          </w:p>
        </w:tc>
      </w:tr>
      <w:tr w14:paraId="42D19270">
        <w:trPr>
          <w:cantSplit/>
          <w:trHeight w:val="567" w:hRule="atLeast"/>
          <w:jc w:val="center"/>
        </w:trPr>
        <w:tc>
          <w:tcPr>
            <w:tcW w:w="2648" w:type="dxa"/>
            <w:vMerge w:val="continue"/>
            <w:shd w:val="clear" w:color="auto" w:fill="FFFFFF"/>
            <w:vAlign w:val="center"/>
          </w:tcPr>
          <w:p w14:paraId="3DDE1406">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14:paraId="52CFB57C">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center"/>
          </w:tcPr>
          <w:p w14:paraId="04B1C32D">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9.30</w:t>
            </w:r>
          </w:p>
        </w:tc>
      </w:tr>
      <w:tr w14:paraId="1CAB5C08">
        <w:trPr>
          <w:cantSplit/>
          <w:trHeight w:val="567" w:hRule="atLeast"/>
          <w:jc w:val="center"/>
        </w:trPr>
        <w:tc>
          <w:tcPr>
            <w:tcW w:w="2648" w:type="dxa"/>
            <w:vMerge w:val="continue"/>
            <w:shd w:val="clear" w:color="auto" w:fill="FFFFFF"/>
            <w:vAlign w:val="center"/>
          </w:tcPr>
          <w:p w14:paraId="301D05A8">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14:paraId="65B2BE9A">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center"/>
          </w:tcPr>
          <w:p w14:paraId="7FCFB753">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8.58</w:t>
            </w:r>
          </w:p>
        </w:tc>
      </w:tr>
      <w:tr w14:paraId="71B12632">
        <w:trPr>
          <w:cantSplit/>
          <w:trHeight w:val="567" w:hRule="atLeast"/>
          <w:jc w:val="center"/>
        </w:trPr>
        <w:tc>
          <w:tcPr>
            <w:tcW w:w="2648" w:type="dxa"/>
            <w:vMerge w:val="continue"/>
            <w:shd w:val="clear" w:color="auto" w:fill="FFFFFF"/>
            <w:vAlign w:val="center"/>
          </w:tcPr>
          <w:p w14:paraId="69D9AEDA">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14:paraId="29BC00A4">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center"/>
          </w:tcPr>
          <w:p w14:paraId="50C3D7CF">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8.23</w:t>
            </w:r>
          </w:p>
        </w:tc>
      </w:tr>
    </w:tbl>
    <w:p w14:paraId="24187F66">
      <w:pPr>
        <w:widowControl/>
        <w:numPr>
          <w:ilvl w:val="0"/>
          <w:numId w:val="1"/>
        </w:numPr>
        <w:adjustRightInd w:val="0"/>
        <w:snapToGrid w:val="0"/>
        <w:spacing w:line="560" w:lineRule="exact"/>
        <w:ind w:firstLine="600" w:firstLineChars="200"/>
        <w:rPr>
          <w:rFonts w:ascii="仿宋_GB2312" w:eastAsia="仿宋_GB2312"/>
          <w:bCs/>
          <w:sz w:val="30"/>
          <w:szCs w:val="30"/>
        </w:rPr>
      </w:pPr>
      <w:r>
        <w:rPr>
          <w:rFonts w:hint="eastAsia" w:ascii="仿宋_GB2312" w:eastAsia="仿宋_GB2312"/>
          <w:bCs/>
          <w:sz w:val="30"/>
          <w:szCs w:val="30"/>
        </w:rPr>
        <w:t>若可再生能源补贴滞后三年，资本金内部收益率将下降为6.64%，运行期前期因补贴滞后存在资金缺口2022万</w:t>
      </w:r>
      <w:r>
        <w:rPr>
          <w:rFonts w:hint="eastAsia" w:ascii="仿宋_GB2312" w:eastAsia="仿宋_GB2312"/>
          <w:bCs/>
          <w:sz w:val="30"/>
          <w:szCs w:val="30"/>
          <w:lang w:eastAsia="zh-CN"/>
        </w:rPr>
        <w:t>元</w:t>
      </w:r>
      <w:r>
        <w:rPr>
          <w:rFonts w:hint="eastAsia" w:ascii="仿宋_GB2312" w:eastAsia="仿宋_GB2312"/>
          <w:bCs/>
          <w:sz w:val="30"/>
          <w:szCs w:val="30"/>
        </w:rPr>
        <w:t>。</w:t>
      </w:r>
    </w:p>
    <w:p w14:paraId="64230D4B">
      <w:pPr>
        <w:widowControl/>
        <w:numPr>
          <w:ilvl w:val="0"/>
          <w:numId w:val="1"/>
        </w:numPr>
        <w:adjustRightInd w:val="0"/>
        <w:snapToGrid w:val="0"/>
        <w:spacing w:line="560" w:lineRule="exact"/>
        <w:ind w:firstLine="600" w:firstLineChars="200"/>
        <w:rPr>
          <w:rFonts w:ascii="仿宋_GB2312" w:eastAsia="仿宋_GB2312"/>
          <w:bCs/>
          <w:sz w:val="30"/>
          <w:szCs w:val="30"/>
        </w:rPr>
      </w:pPr>
      <w:r>
        <w:rPr>
          <w:rFonts w:hint="eastAsia" w:ascii="仿宋_GB2312" w:eastAsia="仿宋_GB2312"/>
          <w:bCs/>
          <w:sz w:val="30"/>
          <w:szCs w:val="30"/>
        </w:rPr>
        <w:t>按照陕西区域火电标杆电价计算的资本金内部收益率为-9.04%。</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script"/>
    <w:pitch w:val="default"/>
    <w:sig w:usb0="A00002BF" w:usb1="184F6CFA" w:usb2="00000012"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04268">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2EE1E">
    <w:pPr>
      <w:pStyle w:val="4"/>
    </w:pPr>
    <w:bookmarkStart w:id="1" w:name="_GoBack"/>
    <w:bookmarkEnd w:id="1"/>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D3B7B1"/>
    <w:multiLevelType w:val="singleLevel"/>
    <w:tmpl w:val="5CD3B7B1"/>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aztFileName" w:val="132098103868090196N6"/>
    <w:docVar w:name="aztPrintName" w:val="000000ESAOAPRINT"/>
    <w:docVar w:name="aztPrintType" w:val="2"/>
  </w:docVars>
  <w:rsids>
    <w:rsidRoot w:val="0032203E"/>
    <w:rsid w:val="00027121"/>
    <w:rsid w:val="000503EF"/>
    <w:rsid w:val="000758C5"/>
    <w:rsid w:val="000847BC"/>
    <w:rsid w:val="000F227B"/>
    <w:rsid w:val="00117F1D"/>
    <w:rsid w:val="0013767A"/>
    <w:rsid w:val="00167BDE"/>
    <w:rsid w:val="001725A3"/>
    <w:rsid w:val="0018278E"/>
    <w:rsid w:val="001B75C5"/>
    <w:rsid w:val="002655CE"/>
    <w:rsid w:val="0032203E"/>
    <w:rsid w:val="00342F4E"/>
    <w:rsid w:val="003443AD"/>
    <w:rsid w:val="003A3420"/>
    <w:rsid w:val="003C3D7D"/>
    <w:rsid w:val="003C79AE"/>
    <w:rsid w:val="00420563"/>
    <w:rsid w:val="0061608D"/>
    <w:rsid w:val="00657E4F"/>
    <w:rsid w:val="00675383"/>
    <w:rsid w:val="006771CC"/>
    <w:rsid w:val="00683BE1"/>
    <w:rsid w:val="006A741B"/>
    <w:rsid w:val="006D0ABA"/>
    <w:rsid w:val="006E5D29"/>
    <w:rsid w:val="00732A03"/>
    <w:rsid w:val="00792A1A"/>
    <w:rsid w:val="007B38C8"/>
    <w:rsid w:val="007C5301"/>
    <w:rsid w:val="007E2678"/>
    <w:rsid w:val="00807383"/>
    <w:rsid w:val="008566F0"/>
    <w:rsid w:val="00882D71"/>
    <w:rsid w:val="008A24B8"/>
    <w:rsid w:val="008E70E3"/>
    <w:rsid w:val="0092035B"/>
    <w:rsid w:val="009332F6"/>
    <w:rsid w:val="00933847"/>
    <w:rsid w:val="009459DE"/>
    <w:rsid w:val="009544D4"/>
    <w:rsid w:val="00972180"/>
    <w:rsid w:val="009840B1"/>
    <w:rsid w:val="00990606"/>
    <w:rsid w:val="009C4182"/>
    <w:rsid w:val="009C7F75"/>
    <w:rsid w:val="009D0D27"/>
    <w:rsid w:val="00A03628"/>
    <w:rsid w:val="00A13B8E"/>
    <w:rsid w:val="00A21D65"/>
    <w:rsid w:val="00A4734B"/>
    <w:rsid w:val="00A55171"/>
    <w:rsid w:val="00A5795C"/>
    <w:rsid w:val="00A773E5"/>
    <w:rsid w:val="00AD5541"/>
    <w:rsid w:val="00AE4152"/>
    <w:rsid w:val="00B0036F"/>
    <w:rsid w:val="00B16024"/>
    <w:rsid w:val="00B545F8"/>
    <w:rsid w:val="00BA3CE3"/>
    <w:rsid w:val="00BD3B72"/>
    <w:rsid w:val="00C05AF2"/>
    <w:rsid w:val="00C356C8"/>
    <w:rsid w:val="00C52685"/>
    <w:rsid w:val="00C557AF"/>
    <w:rsid w:val="00C935DB"/>
    <w:rsid w:val="00CA329E"/>
    <w:rsid w:val="00CD52F9"/>
    <w:rsid w:val="00D55C98"/>
    <w:rsid w:val="00D60794"/>
    <w:rsid w:val="00DC6944"/>
    <w:rsid w:val="00E40081"/>
    <w:rsid w:val="00E571C4"/>
    <w:rsid w:val="00EF230B"/>
    <w:rsid w:val="00F40E59"/>
    <w:rsid w:val="00F61FC6"/>
    <w:rsid w:val="3BC207D4"/>
    <w:rsid w:val="50DC79ED"/>
    <w:rsid w:val="5834449E"/>
    <w:rsid w:val="6B0E4B6C"/>
    <w:rsid w:val="6BB1588B"/>
    <w:rsid w:val="6D140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snapToGrid w:val="0"/>
      <w:spacing w:line="360" w:lineRule="auto"/>
      <w:outlineLvl w:val="0"/>
    </w:pPr>
    <w:rPr>
      <w:rFonts w:ascii="宋体" w:hAnsi="宋体" w:eastAsia="宋体" w:cs="Times New Roman"/>
      <w:b/>
      <w:color w:val="0000FF"/>
      <w:kern w:val="0"/>
      <w:sz w:val="20"/>
      <w:szCs w:val="20"/>
      <w:lang w:val="zh-CN"/>
    </w:rPr>
  </w:style>
  <w:style w:type="character" w:default="1" w:styleId="6">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Strong"/>
    <w:qFormat/>
    <w:uiPriority w:val="0"/>
    <w:rPr>
      <w:rFonts w:cs="Times New Roman"/>
      <w:b/>
      <w:bCs/>
    </w:rPr>
  </w:style>
  <w:style w:type="character" w:customStyle="1" w:styleId="8">
    <w:name w:val="标题 1 字符"/>
    <w:basedOn w:val="6"/>
    <w:qFormat/>
    <w:uiPriority w:val="9"/>
    <w:rPr>
      <w:b/>
      <w:bCs/>
      <w:kern w:val="44"/>
      <w:sz w:val="44"/>
      <w:szCs w:val="44"/>
    </w:rPr>
  </w:style>
  <w:style w:type="character" w:customStyle="1" w:styleId="9">
    <w:name w:val="标题 1 Char"/>
    <w:link w:val="2"/>
    <w:qFormat/>
    <w:uiPriority w:val="9"/>
    <w:rPr>
      <w:rFonts w:ascii="宋体" w:hAnsi="宋体" w:eastAsia="宋体" w:cs="Times New Roman"/>
      <w:b/>
      <w:color w:val="0000FF"/>
      <w:kern w:val="0"/>
      <w:sz w:val="20"/>
      <w:szCs w:val="20"/>
      <w:lang w:val="zh-CN"/>
    </w:rPr>
  </w:style>
  <w:style w:type="character" w:customStyle="1" w:styleId="10">
    <w:name w:val="页眉 Char"/>
    <w:basedOn w:val="6"/>
    <w:link w:val="4"/>
    <w:semiHidden/>
    <w:qFormat/>
    <w:uiPriority w:val="99"/>
    <w:rPr>
      <w:sz w:val="18"/>
      <w:szCs w:val="18"/>
    </w:rPr>
  </w:style>
  <w:style w:type="character" w:customStyle="1" w:styleId="11">
    <w:name w:val="页脚 Char"/>
    <w:basedOn w:val="6"/>
    <w:link w:val="3"/>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1577</Words>
  <Characters>8995</Characters>
  <Lines>74</Lines>
  <Paragraphs>21</Paragraphs>
  <TotalTime>0</TotalTime>
  <ScaleCrop>false</ScaleCrop>
  <LinksUpToDate>false</LinksUpToDate>
  <CharactersWithSpaces>10551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2019-08-02T01:19:00Z</dcterms:created>
  <dc:creator>cao xu</dc:creator>
  <cp:lastModifiedBy>EDY</cp:lastModifiedBy>
  <dcterms:modified xsi:type="dcterms:W3CDTF">2026-09-20T09:16:21Z</dcterms:modified>
  <dc:title>附件1</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FE5E6B6ED5DA48CAAA3ED207A64F11FA_12</vt:lpwstr>
  </property>
</Properties>
</file>