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rPr>
          <w:rFonts w:ascii="黑体" w:hAnsi="黑体" w:eastAsia="黑体" w:cs="黑体"/>
          <w:spacing w:val="-7"/>
          <w:sz w:val="32"/>
          <w:szCs w:val="32"/>
        </w:rPr>
      </w:pPr>
      <w:bookmarkStart w:id="1" w:name="_GoBack"/>
      <w:bookmarkEnd w:id="1"/>
      <w:r>
        <w:rPr>
          <w:rFonts w:hint="eastAsia" w:ascii="黑体" w:hAnsi="黑体" w:eastAsia="黑体" w:cs="黑体"/>
          <w:spacing w:val="-7"/>
          <w:sz w:val="32"/>
          <w:szCs w:val="32"/>
        </w:rPr>
        <w:t>附件1</w:t>
      </w:r>
    </w:p>
    <w:p>
      <w:pPr>
        <w:adjustRightInd w:val="0"/>
        <w:snapToGrid w:val="0"/>
        <w:spacing w:line="560" w:lineRule="exact"/>
        <w:rPr>
          <w:rFonts w:ascii="黑体" w:hAnsi="黑体" w:eastAsia="黑体" w:cs="黑体"/>
          <w:color w:val="FF0000"/>
          <w:spacing w:val="-7"/>
          <w:sz w:val="32"/>
          <w:szCs w:val="32"/>
        </w:rPr>
      </w:pPr>
    </w:p>
    <w:p>
      <w:pPr>
        <w:pStyle w:val="21"/>
        <w:snapToGrid w:val="0"/>
        <w:spacing w:line="560" w:lineRule="exact"/>
        <w:jc w:val="center"/>
        <w:rPr>
          <w:rFonts w:ascii="方正小标宋简体" w:hAnsi="黑体" w:eastAsia="方正小标宋简体" w:cs="方正小标宋简体"/>
          <w:spacing w:val="-7"/>
          <w:sz w:val="44"/>
          <w:szCs w:val="44"/>
        </w:rPr>
      </w:pPr>
      <w:r>
        <w:rPr>
          <w:rFonts w:hint="eastAsia" w:ascii="方正小标宋简体" w:hAnsi="黑体" w:eastAsia="方正小标宋简体" w:cs="方正小标宋简体"/>
          <w:spacing w:val="-7"/>
          <w:sz w:val="44"/>
          <w:szCs w:val="44"/>
        </w:rPr>
        <w:t>陕西华电靖边韩家沟200MW风电项目可行性研究报告审查意见</w:t>
      </w:r>
    </w:p>
    <w:p>
      <w:pPr>
        <w:pStyle w:val="16"/>
      </w:pPr>
    </w:p>
    <w:p>
      <w:pPr>
        <w:adjustRightInd w:val="0"/>
        <w:snapToGrid w:val="0"/>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集团公司技经中心于202</w:t>
      </w:r>
      <w:r>
        <w:rPr>
          <w:rFonts w:hint="eastAsia" w:ascii="仿宋_GB2312" w:hAnsi="仿宋_GB2312" w:eastAsia="仿宋_GB2312"/>
          <w:sz w:val="32"/>
          <w:szCs w:val="32"/>
        </w:rPr>
        <w:t>3</w:t>
      </w:r>
      <w:r>
        <w:rPr>
          <w:rFonts w:ascii="仿宋_GB2312" w:hAnsi="仿宋_GB2312" w:eastAsia="仿宋_GB2312"/>
          <w:sz w:val="32"/>
          <w:szCs w:val="32"/>
        </w:rPr>
        <w:t>年</w:t>
      </w:r>
      <w:r>
        <w:rPr>
          <w:rFonts w:hint="eastAsia" w:ascii="仿宋_GB2312" w:hAnsi="仿宋_GB2312" w:eastAsia="仿宋_GB2312"/>
          <w:sz w:val="32"/>
          <w:szCs w:val="32"/>
        </w:rPr>
        <w:t>4</w:t>
      </w:r>
      <w:r>
        <w:rPr>
          <w:rFonts w:ascii="仿宋_GB2312" w:hAnsi="仿宋_GB2312" w:eastAsia="仿宋_GB2312"/>
          <w:sz w:val="32"/>
          <w:szCs w:val="32"/>
        </w:rPr>
        <w:t>月</w:t>
      </w:r>
      <w:r>
        <w:rPr>
          <w:rFonts w:hint="eastAsia" w:ascii="仿宋_GB2312" w:hAnsi="仿宋_GB2312" w:eastAsia="仿宋_GB2312"/>
          <w:sz w:val="32"/>
          <w:szCs w:val="32"/>
        </w:rPr>
        <w:t>20</w:t>
      </w:r>
      <w:r>
        <w:rPr>
          <w:rFonts w:ascii="仿宋_GB2312" w:hAnsi="仿宋_GB2312" w:eastAsia="仿宋_GB2312"/>
          <w:sz w:val="32"/>
          <w:szCs w:val="32"/>
        </w:rPr>
        <w:t>日</w:t>
      </w:r>
      <w:r>
        <w:rPr>
          <w:rFonts w:hint="eastAsia" w:ascii="仿宋_GB2312" w:hAnsi="仿宋_GB2312" w:eastAsia="仿宋_GB2312" w:cs="Times New Roman"/>
          <w:kern w:val="2"/>
          <w:sz w:val="32"/>
          <w:szCs w:val="32"/>
        </w:rPr>
        <w:t>在北京市组织召开了</w:t>
      </w:r>
      <w:r>
        <w:rPr>
          <w:rFonts w:hint="eastAsia" w:ascii="仿宋_GB2312" w:hAnsi="仿宋_GB2312" w:eastAsia="仿宋_GB2312"/>
          <w:sz w:val="32"/>
          <w:szCs w:val="32"/>
        </w:rPr>
        <w:t>陕西华电靖边韩家沟200MW风电项目</w:t>
      </w:r>
      <w:r>
        <w:rPr>
          <w:rFonts w:ascii="仿宋_GB2312" w:hAnsi="仿宋_GB2312" w:eastAsia="仿宋_GB2312"/>
          <w:sz w:val="32"/>
          <w:szCs w:val="32"/>
        </w:rPr>
        <w:t>（以下简称本工程）可行性研究报告审查会。参加会议的有：</w:t>
      </w:r>
      <w:r>
        <w:rPr>
          <w:rFonts w:hint="eastAsia" w:ascii="仿宋_GB2312" w:hAnsi="仿宋_GB2312" w:eastAsia="仿宋_GB2312"/>
          <w:sz w:val="32"/>
          <w:szCs w:val="32"/>
        </w:rPr>
        <w:t>华电陕西能源有限公司、陕西华电新能源发电有限公司</w:t>
      </w:r>
      <w:r>
        <w:rPr>
          <w:rFonts w:ascii="仿宋_GB2312" w:hAnsi="仿宋_GB2312" w:eastAsia="仿宋_GB2312"/>
          <w:sz w:val="32"/>
          <w:szCs w:val="32"/>
        </w:rPr>
        <w:t>（以下简称</w:t>
      </w:r>
      <w:r>
        <w:rPr>
          <w:rFonts w:hint="eastAsia" w:ascii="仿宋_GB2312" w:hAnsi="仿宋_GB2312" w:eastAsia="仿宋_GB2312"/>
          <w:sz w:val="32"/>
          <w:szCs w:val="32"/>
        </w:rPr>
        <w:t>项目公司</w:t>
      </w:r>
      <w:r>
        <w:rPr>
          <w:rFonts w:ascii="仿宋_GB2312" w:hAnsi="仿宋_GB2312" w:eastAsia="仿宋_GB2312"/>
          <w:sz w:val="32"/>
          <w:szCs w:val="32"/>
        </w:rPr>
        <w:t>）、</w:t>
      </w:r>
      <w:r>
        <w:rPr>
          <w:rFonts w:hint="eastAsia" w:ascii="仿宋_GB2312" w:hAnsi="仿宋_GB2312" w:eastAsia="仿宋_GB2312"/>
          <w:sz w:val="32"/>
          <w:szCs w:val="32"/>
        </w:rPr>
        <w:t>北京恒华伟业科技股份有限公司</w:t>
      </w:r>
      <w:r>
        <w:rPr>
          <w:rFonts w:ascii="仿宋_GB2312" w:hAnsi="仿宋_GB2312" w:eastAsia="仿宋_GB2312"/>
          <w:sz w:val="32"/>
          <w:szCs w:val="32"/>
        </w:rPr>
        <w:t>（以下简称</w:t>
      </w:r>
      <w:r>
        <w:rPr>
          <w:rFonts w:hint="eastAsia" w:ascii="仿宋_GB2312" w:hAnsi="仿宋_GB2312" w:eastAsia="仿宋_GB2312"/>
          <w:sz w:val="32"/>
          <w:szCs w:val="32"/>
        </w:rPr>
        <w:t>设计单位</w:t>
      </w:r>
      <w:r>
        <w:rPr>
          <w:rFonts w:ascii="仿宋_GB2312" w:hAnsi="仿宋_GB2312" w:eastAsia="仿宋_GB2312"/>
          <w:sz w:val="32"/>
          <w:szCs w:val="32"/>
        </w:rPr>
        <w:t>）、集团公司技经中心等单位的专家及代表。</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经与会代表</w:t>
      </w:r>
      <w:r>
        <w:rPr>
          <w:rFonts w:hint="eastAsia" w:ascii="仿宋_GB2312" w:hAnsi="仿宋_GB2312" w:eastAsia="仿宋_GB2312"/>
          <w:sz w:val="32"/>
          <w:szCs w:val="32"/>
          <w:lang w:val="en-US" w:eastAsia="zh-CN"/>
        </w:rPr>
        <w:t>讨论</w:t>
      </w:r>
      <w:r>
        <w:rPr>
          <w:rFonts w:hint="eastAsia" w:ascii="仿宋_GB2312" w:hAnsi="仿宋_GB2312" w:eastAsia="仿宋_GB2312"/>
          <w:sz w:val="32"/>
          <w:szCs w:val="32"/>
        </w:rPr>
        <w:t>后形成了审查会纪要，根据审查会纪要的要求，项目公司组织各有关单位落实相关工作，设计单位补充完善了本工程的设计文件，并对审查会纪要中遗留问题逐项答复。技经中心组织有关专家根据重新提供的设计文件对遗留的技术和概算问题逐项进行了讨论和评审，并达成了一致意见。除在可行性研究报告审查会议中已明确主要原则要求的条件下，现提出如下审查意见：</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一、项目建设的必要性</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本工程位于陕西省榆林市靖边县区域，距离靖边县城约40km，风电场址区域的海拔高度约1123m～1823m。场址区内各测风塔实测风速数据推算得到</w:t>
      </w:r>
      <w:r>
        <w:rPr>
          <w:rFonts w:ascii="仿宋_GB2312" w:hAnsi="仿宋_GB2312" w:eastAsia="仿宋_GB2312"/>
          <w:sz w:val="32"/>
          <w:szCs w:val="32"/>
        </w:rPr>
        <w:t>1</w:t>
      </w:r>
      <w:r>
        <w:rPr>
          <w:rFonts w:hint="eastAsia" w:ascii="仿宋_GB2312" w:hAnsi="仿宋_GB2312" w:eastAsia="仿宋_GB2312"/>
          <w:sz w:val="32"/>
          <w:szCs w:val="32"/>
        </w:rPr>
        <w:t>1</w:t>
      </w:r>
      <w:r>
        <w:rPr>
          <w:rFonts w:ascii="仿宋_GB2312" w:hAnsi="仿宋_GB2312" w:eastAsia="仿宋_GB2312"/>
          <w:sz w:val="32"/>
          <w:szCs w:val="32"/>
        </w:rPr>
        <w:t>0m高度</w:t>
      </w:r>
      <w:r>
        <w:rPr>
          <w:rFonts w:hint="eastAsia" w:ascii="仿宋_GB2312" w:hAnsi="仿宋_GB2312" w:eastAsia="仿宋_GB2312"/>
          <w:sz w:val="32"/>
          <w:szCs w:val="32"/>
        </w:rPr>
        <w:t>代表</w:t>
      </w:r>
      <w:r>
        <w:rPr>
          <w:rFonts w:ascii="仿宋_GB2312" w:hAnsi="仿宋_GB2312" w:eastAsia="仿宋_GB2312"/>
          <w:sz w:val="32"/>
          <w:szCs w:val="32"/>
        </w:rPr>
        <w:t>年平均风速范围</w:t>
      </w:r>
      <w:r>
        <w:rPr>
          <w:rFonts w:hint="eastAsia" w:ascii="仿宋_GB2312" w:hAnsi="仿宋_GB2312" w:eastAsia="仿宋_GB2312"/>
          <w:sz w:val="32"/>
          <w:szCs w:val="32"/>
        </w:rPr>
        <w:t>为5.75m/s～6.42m/s，风功率密度范围为163W/m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rPr>
        <w:t>～232W/m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rPr>
        <w:t>，风电场风能资源具备工程开发价值。</w:t>
      </w:r>
    </w:p>
    <w:p>
      <w:pPr>
        <w:adjustRightInd w:val="0"/>
        <w:snapToGrid w:val="0"/>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利用当地的风能资源，建设风力发电项目，可以改善当地的能源结构，实现电力供应的多元化，符合国家环保、节能和可持续发展的要求</w:t>
      </w:r>
      <w:r>
        <w:rPr>
          <w:rFonts w:hint="eastAsia" w:ascii="仿宋_GB2312" w:hAnsi="仿宋_GB2312" w:eastAsia="仿宋_GB2312"/>
          <w:sz w:val="32"/>
          <w:szCs w:val="32"/>
        </w:rPr>
        <w:t>，</w:t>
      </w:r>
      <w:r>
        <w:rPr>
          <w:rFonts w:ascii="仿宋_GB2312" w:hAnsi="仿宋_GB2312" w:eastAsia="仿宋_GB2312"/>
          <w:sz w:val="32"/>
          <w:szCs w:val="32"/>
        </w:rPr>
        <w:t>符合集团</w:t>
      </w:r>
      <w:r>
        <w:rPr>
          <w:rFonts w:hint="eastAsia" w:ascii="仿宋_GB2312" w:hAnsi="仿宋_GB2312" w:eastAsia="仿宋_GB2312"/>
          <w:sz w:val="32"/>
          <w:szCs w:val="32"/>
        </w:rPr>
        <w:t>公司新能源</w:t>
      </w:r>
      <w:r>
        <w:rPr>
          <w:rFonts w:ascii="仿宋_GB2312" w:hAnsi="仿宋_GB2312" w:eastAsia="仿宋_GB2312"/>
          <w:sz w:val="32"/>
          <w:szCs w:val="32"/>
        </w:rPr>
        <w:t>发展战略。</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二、建设条件</w:t>
      </w:r>
    </w:p>
    <w:p>
      <w:pPr>
        <w:pStyle w:val="21"/>
        <w:snapToGrid w:val="0"/>
        <w:spacing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kern w:val="2"/>
          <w:sz w:val="32"/>
          <w:szCs w:val="32"/>
        </w:rPr>
        <w:t>（一）核准文件</w:t>
      </w:r>
    </w:p>
    <w:p>
      <w:pPr>
        <w:pStyle w:val="21"/>
        <w:snapToGrid w:val="0"/>
        <w:spacing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kern w:val="2"/>
          <w:sz w:val="32"/>
          <w:szCs w:val="32"/>
        </w:rPr>
        <w:t>本工程尚未取得核准文件，请项目公司关注本工程核准文件办理进度。</w:t>
      </w:r>
    </w:p>
    <w:p>
      <w:pPr>
        <w:pStyle w:val="21"/>
        <w:snapToGrid w:val="0"/>
        <w:spacing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kern w:val="2"/>
          <w:sz w:val="32"/>
          <w:szCs w:val="32"/>
        </w:rPr>
        <w:t>（二）建设指标</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根据陕西省发展和改革委员会《关于陕西省2022年保障性并网规模竞争性配置结果的通知》（陕发改新能源〔2022〕2136号），本工程已列入2022年陕西省风电、光伏发电保障性并网项目汇总清单，取得指标的容量为200MW。</w:t>
      </w:r>
    </w:p>
    <w:p>
      <w:pPr>
        <w:adjustRightInd w:val="0"/>
        <w:snapToGrid w:val="0"/>
        <w:spacing w:line="560" w:lineRule="exact"/>
        <w:ind w:firstLine="640" w:firstLineChars="200"/>
        <w:rPr>
          <w:rFonts w:ascii="仿宋_GB2312" w:hAnsi="仿宋_GB2312" w:eastAsia="仿宋_GB2312"/>
          <w:sz w:val="32"/>
          <w:szCs w:val="32"/>
        </w:rPr>
      </w:pPr>
      <w:r>
        <w:rPr>
          <w:rFonts w:ascii="仿宋_GB2312" w:hAnsi="仿宋_GB2312" w:eastAsia="仿宋_GB2312"/>
          <w:sz w:val="32"/>
          <w:szCs w:val="32"/>
        </w:rPr>
        <w:t>（</w:t>
      </w:r>
      <w:r>
        <w:rPr>
          <w:rFonts w:hint="eastAsia" w:ascii="仿宋_GB2312" w:hAnsi="仿宋_GB2312" w:eastAsia="仿宋_GB2312"/>
          <w:sz w:val="32"/>
          <w:szCs w:val="32"/>
        </w:rPr>
        <w:t>三</w:t>
      </w:r>
      <w:r>
        <w:rPr>
          <w:rFonts w:ascii="仿宋_GB2312" w:hAnsi="仿宋_GB2312" w:eastAsia="仿宋_GB2312"/>
          <w:sz w:val="32"/>
          <w:szCs w:val="32"/>
        </w:rPr>
        <w:t>）</w:t>
      </w:r>
      <w:r>
        <w:rPr>
          <w:rFonts w:hint="eastAsia" w:ascii="仿宋_GB2312" w:hAnsi="仿宋_GB2312" w:eastAsia="仿宋_GB2312"/>
          <w:sz w:val="32"/>
          <w:szCs w:val="32"/>
        </w:rPr>
        <w:t>其他支持性文件</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1. 用地文件</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（1）本工程尚未取得用地预审意见，</w:t>
      </w:r>
      <w:r>
        <w:rPr>
          <w:rFonts w:hint="eastAsia" w:ascii="仿宋_GB2312" w:hAnsi="仿宋_GB2312" w:eastAsia="仿宋_GB2312" w:cs="Times New Roman"/>
          <w:kern w:val="2"/>
          <w:sz w:val="32"/>
          <w:szCs w:val="32"/>
        </w:rPr>
        <w:t>请项目公司取得用地手续的批复文件，</w:t>
      </w:r>
      <w:r>
        <w:rPr>
          <w:rFonts w:hint="eastAsia" w:ascii="仿宋_GB2312" w:hAnsi="仿宋_GB2312" w:eastAsia="仿宋_GB2312" w:cs="仿宋_GB2312"/>
          <w:kern w:val="2"/>
          <w:sz w:val="32"/>
          <w:szCs w:val="32"/>
        </w:rPr>
        <w:t>并复核本工程可研报告中永久用地方案。</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2）根据华电陕西能源有限公司《关于陕西华电靖边韩家沟200MW风电项目建设用地费列支的说明》，本工程永久征地按面积45.6亩，费用10.12万元/亩考虑；长期租地按面积213.8亩，费用1300元/亩考虑；临时用地按面积624亩，费用1300元/亩考虑，用地费用一次性支付。</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2. 环评及水保文件</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本工程已完成环评和水保的专题报告，暂未取得正式批复。本阶段暂按专题报告的方案和相关费用列支概算。请项目公司取得环评和水保的正式批复后，复核环评和水保的方案和相关费用。</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（四）接入系统</w:t>
      </w:r>
    </w:p>
    <w:p>
      <w:pPr>
        <w:pStyle w:val="21"/>
        <w:snapToGrid w:val="0"/>
        <w:spacing w:line="560" w:lineRule="exact"/>
        <w:ind w:firstLine="640" w:firstLineChars="200"/>
        <w:jc w:val="both"/>
        <w:rPr>
          <w:rFonts w:ascii="仿宋_GB2312" w:hAnsi="仿宋" w:eastAsia="仿宋_GB2312" w:cs="Arial"/>
          <w:color w:val="000000" w:themeColor="text1"/>
          <w:sz w:val="32"/>
          <w:szCs w:val="32"/>
          <w14:textFill>
            <w14:solidFill>
              <w14:schemeClr w14:val="tx1"/>
            </w14:solidFill>
          </w14:textFill>
        </w:rPr>
      </w:pPr>
      <w:r>
        <w:rPr>
          <w:rFonts w:hint="eastAsia" w:ascii="仿宋_GB2312" w:hAnsi="仿宋" w:eastAsia="仿宋_GB2312" w:cs="Arial"/>
          <w:sz w:val="32"/>
          <w:szCs w:val="32"/>
        </w:rPr>
        <w:t>本工程已完成接入系统设计报告，暂未取得接入系统方案的批复意见。根据接入系统设计报告，</w:t>
      </w:r>
      <w:r>
        <w:rPr>
          <w:rFonts w:hint="eastAsia" w:ascii="仿宋_GB2312" w:hAnsi="仿宋" w:eastAsia="仿宋_GB2312" w:cs="Arial"/>
          <w:color w:val="000000" w:themeColor="text1"/>
          <w:sz w:val="32"/>
          <w:szCs w:val="32"/>
          <w14:textFill>
            <w14:solidFill>
              <w14:schemeClr w14:val="tx1"/>
            </w14:solidFill>
          </w14:textFill>
        </w:rPr>
        <w:t>本工程新建1座110kV升压站，以1回110kV线路接入曹城</w:t>
      </w:r>
      <w:r>
        <w:rPr>
          <w:rFonts w:ascii="仿宋_GB2312" w:hAnsi="仿宋" w:eastAsia="仿宋_GB2312" w:cs="Arial"/>
          <w:color w:val="000000" w:themeColor="text1"/>
          <w:sz w:val="32"/>
          <w:szCs w:val="32"/>
          <w14:textFill>
            <w14:solidFill>
              <w14:schemeClr w14:val="tx1"/>
            </w14:solidFill>
          </w14:textFill>
        </w:rPr>
        <w:t>330kV汇集站</w:t>
      </w:r>
      <w:r>
        <w:rPr>
          <w:rFonts w:hint="eastAsia" w:ascii="仿宋_GB2312" w:hAnsi="仿宋" w:eastAsia="仿宋_GB2312" w:cs="Arial"/>
          <w:color w:val="000000" w:themeColor="text1"/>
          <w:sz w:val="32"/>
          <w:szCs w:val="32"/>
          <w14:textFill>
            <w14:solidFill>
              <w14:schemeClr w14:val="tx1"/>
            </w14:solidFill>
          </w14:textFill>
        </w:rPr>
        <w:t>1</w:t>
      </w:r>
      <w:r>
        <w:rPr>
          <w:rFonts w:ascii="仿宋_GB2312" w:hAnsi="仿宋" w:eastAsia="仿宋_GB2312" w:cs="Arial"/>
          <w:color w:val="000000" w:themeColor="text1"/>
          <w:sz w:val="32"/>
          <w:szCs w:val="32"/>
          <w14:textFill>
            <w14:solidFill>
              <w14:schemeClr w14:val="tx1"/>
            </w14:solidFill>
          </w14:textFill>
        </w:rPr>
        <w:t>10kV</w:t>
      </w:r>
      <w:r>
        <w:rPr>
          <w:rFonts w:hint="eastAsia" w:ascii="仿宋_GB2312" w:hAnsi="仿宋" w:eastAsia="仿宋_GB2312" w:cs="Arial"/>
          <w:color w:val="000000" w:themeColor="text1"/>
          <w:sz w:val="32"/>
          <w:szCs w:val="32"/>
          <w14:textFill>
            <w14:solidFill>
              <w14:schemeClr w14:val="tx1"/>
            </w14:solidFill>
          </w14:textFill>
        </w:rPr>
        <w:t>侧</w:t>
      </w:r>
      <w:r>
        <w:rPr>
          <w:rFonts w:hint="eastAsia" w:ascii="仿宋" w:hAnsi="仿宋" w:eastAsia="仿宋" w:cs="仿宋"/>
          <w:color w:val="000000" w:themeColor="text1"/>
          <w:sz w:val="32"/>
          <w:szCs w:val="32"/>
          <w14:textFill>
            <w14:solidFill>
              <w14:schemeClr w14:val="tx1"/>
            </w14:solidFill>
          </w14:textFill>
        </w:rPr>
        <w:t>，</w:t>
      </w:r>
      <w:r>
        <w:rPr>
          <w:rFonts w:hint="eastAsia" w:ascii="仿宋_GB2312" w:hAnsi="仿宋" w:eastAsia="仿宋_GB2312" w:cs="Arial"/>
          <w:color w:val="000000" w:themeColor="text1"/>
          <w:sz w:val="32"/>
          <w:szCs w:val="32"/>
          <w14:textFill>
            <w14:solidFill>
              <w14:schemeClr w14:val="tx1"/>
            </w14:solidFill>
          </w14:textFill>
        </w:rPr>
        <w:t>线路长度约为</w:t>
      </w:r>
      <w:r>
        <w:rPr>
          <w:rFonts w:ascii="仿宋_GB2312" w:hAnsi="仿宋" w:eastAsia="仿宋_GB2312" w:cs="Arial"/>
          <w:color w:val="000000" w:themeColor="text1"/>
          <w:sz w:val="32"/>
          <w:szCs w:val="32"/>
          <w14:textFill>
            <w14:solidFill>
              <w14:schemeClr w14:val="tx1"/>
            </w14:solidFill>
          </w14:textFill>
        </w:rPr>
        <w:t>34.5</w:t>
      </w:r>
      <w:r>
        <w:rPr>
          <w:rFonts w:hint="eastAsia" w:ascii="仿宋_GB2312" w:hAnsi="仿宋" w:eastAsia="仿宋_GB2312" w:cs="Arial"/>
          <w:color w:val="000000" w:themeColor="text1"/>
          <w:sz w:val="32"/>
          <w:szCs w:val="32"/>
          <w14:textFill>
            <w14:solidFill>
              <w14:schemeClr w14:val="tx1"/>
            </w14:solidFill>
          </w14:textFill>
        </w:rPr>
        <w:t>km。本工程送出线路及对侧间隔改造费用拟按项目公司出资建设考虑。</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cs="仿宋_GB2312"/>
          <w:sz w:val="32"/>
          <w:szCs w:val="32"/>
        </w:rPr>
        <w:t>（五）</w:t>
      </w:r>
      <w:r>
        <w:rPr>
          <w:rFonts w:ascii="仿宋_GB2312" w:hAnsi="仿宋_GB2312" w:eastAsia="仿宋_GB2312"/>
          <w:sz w:val="32"/>
          <w:szCs w:val="32"/>
        </w:rPr>
        <w:t>本工程已</w:t>
      </w:r>
      <w:r>
        <w:rPr>
          <w:rFonts w:hint="eastAsia" w:ascii="仿宋_GB2312" w:hAnsi="仿宋" w:eastAsia="仿宋_GB2312" w:cs="Arial"/>
          <w:sz w:val="32"/>
          <w:szCs w:val="32"/>
        </w:rPr>
        <w:t>完成</w:t>
      </w:r>
      <w:r>
        <w:rPr>
          <w:rFonts w:hint="eastAsia" w:ascii="仿宋_GB2312" w:hAnsi="仿宋_GB2312" w:eastAsia="仿宋_GB2312"/>
          <w:sz w:val="32"/>
          <w:szCs w:val="32"/>
        </w:rPr>
        <w:t>场址区1：2000、升压站1：500</w:t>
      </w:r>
      <w:r>
        <w:rPr>
          <w:rFonts w:ascii="仿宋_GB2312" w:hAnsi="仿宋_GB2312" w:eastAsia="仿宋_GB2312"/>
          <w:sz w:val="32"/>
          <w:szCs w:val="32"/>
        </w:rPr>
        <w:t>地形图测绘和</w:t>
      </w:r>
      <w:r>
        <w:rPr>
          <w:rFonts w:hint="eastAsia" w:ascii="仿宋_GB2312" w:hAnsi="仿宋_GB2312" w:eastAsia="仿宋_GB2312"/>
          <w:sz w:val="32"/>
          <w:szCs w:val="32"/>
        </w:rPr>
        <w:t>地质初勘</w:t>
      </w:r>
      <w:r>
        <w:rPr>
          <w:rFonts w:ascii="仿宋_GB2312" w:hAnsi="仿宋_GB2312" w:eastAsia="仿宋_GB2312"/>
          <w:sz w:val="32"/>
          <w:szCs w:val="32"/>
        </w:rPr>
        <w:t>工作。</w:t>
      </w:r>
    </w:p>
    <w:p>
      <w:pPr>
        <w:pStyle w:val="21"/>
        <w:snapToGrid w:val="0"/>
        <w:spacing w:line="560" w:lineRule="exact"/>
        <w:ind w:firstLine="640" w:firstLineChars="200"/>
        <w:jc w:val="both"/>
      </w:pPr>
      <w:r>
        <w:rPr>
          <w:rFonts w:hint="eastAsia" w:ascii="仿宋_GB2312" w:hAnsi="仿宋_GB2312" w:eastAsia="仿宋_GB2312" w:cs="仿宋_GB2312"/>
          <w:color w:val="auto"/>
          <w:sz w:val="32"/>
          <w:szCs w:val="32"/>
        </w:rPr>
        <w:t>（六）</w:t>
      </w:r>
      <w:r>
        <w:rPr>
          <w:rFonts w:hint="eastAsia" w:ascii="仿宋_GB2312" w:hAnsi="仿宋_GB2312" w:eastAsia="仿宋_GB2312"/>
          <w:color w:val="auto"/>
          <w:kern w:val="2"/>
          <w:sz w:val="32"/>
          <w:szCs w:val="32"/>
        </w:rPr>
        <w:t>本工程新建一座110</w:t>
      </w:r>
      <w:r>
        <w:rPr>
          <w:rFonts w:ascii="仿宋_GB2312" w:hAnsi="仿宋_GB2312" w:eastAsia="仿宋_GB2312"/>
          <w:color w:val="auto"/>
          <w:kern w:val="2"/>
          <w:sz w:val="32"/>
          <w:szCs w:val="32"/>
        </w:rPr>
        <w:t>kV</w:t>
      </w:r>
      <w:r>
        <w:rPr>
          <w:rFonts w:hint="eastAsia" w:ascii="仿宋_GB2312" w:hAnsi="仿宋_GB2312" w:eastAsia="仿宋_GB2312"/>
          <w:color w:val="auto"/>
          <w:kern w:val="2"/>
          <w:sz w:val="32"/>
          <w:szCs w:val="32"/>
        </w:rPr>
        <w:t>升压站，升压站按照“远程集控、远程诊断、少人维护”设计。</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三、工程地质部分</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（一）本工程位于陕北地区黄土高原的北部边缘，场址区地形为流水侵蚀的黄土塬梁峁涧沟壑，场址区地貌类型为黄土丘陵，高程约</w:t>
      </w:r>
      <w:r>
        <w:rPr>
          <w:rFonts w:ascii="仿宋_GB2312" w:hAnsi="仿宋" w:eastAsia="仿宋_GB2312" w:cs="Arial"/>
          <w:sz w:val="32"/>
          <w:szCs w:val="32"/>
        </w:rPr>
        <w:t>1</w:t>
      </w:r>
      <w:r>
        <w:rPr>
          <w:rFonts w:hint="eastAsia" w:ascii="仿宋_GB2312" w:hAnsi="仿宋" w:eastAsia="仿宋_GB2312" w:cs="Arial"/>
          <w:sz w:val="32"/>
          <w:szCs w:val="32"/>
        </w:rPr>
        <w:t>123m～1823m</w:t>
      </w:r>
      <w:r>
        <w:rPr>
          <w:rFonts w:ascii="仿宋_GB2312" w:hAnsi="仿宋" w:eastAsia="仿宋_GB2312" w:cs="Arial"/>
          <w:sz w:val="32"/>
          <w:szCs w:val="32"/>
        </w:rPr>
        <w:t>，冲沟广泛发育</w:t>
      </w:r>
      <w:r>
        <w:rPr>
          <w:rFonts w:hint="eastAsia" w:ascii="仿宋_GB2312" w:hAnsi="仿宋" w:eastAsia="仿宋_GB2312" w:cs="Arial"/>
          <w:sz w:val="32"/>
          <w:szCs w:val="32"/>
        </w:rPr>
        <w:t>，</w:t>
      </w:r>
      <w:r>
        <w:rPr>
          <w:rFonts w:ascii="仿宋_GB2312" w:hAnsi="仿宋" w:eastAsia="仿宋_GB2312" w:cs="Arial"/>
          <w:sz w:val="32"/>
          <w:szCs w:val="32"/>
        </w:rPr>
        <w:t>局部冲沟两侧地形较陡</w:t>
      </w:r>
      <w:r>
        <w:rPr>
          <w:rFonts w:hint="eastAsia" w:ascii="仿宋_GB2312" w:hAnsi="仿宋" w:eastAsia="仿宋_GB2312" w:cs="Arial"/>
          <w:sz w:val="32"/>
          <w:szCs w:val="32"/>
        </w:rPr>
        <w:t>，</w:t>
      </w:r>
    </w:p>
    <w:p>
      <w:pPr>
        <w:pStyle w:val="21"/>
        <w:snapToGrid w:val="0"/>
        <w:spacing w:line="560" w:lineRule="exact"/>
        <w:ind w:firstLine="640" w:firstLineChars="200"/>
        <w:jc w:val="both"/>
        <w:rPr>
          <w:rFonts w:hint="eastAsia" w:ascii="仿宋_GB2312" w:hAnsi="仿宋" w:eastAsia="仿宋_GB2312" w:cs="Arial"/>
          <w:sz w:val="32"/>
          <w:szCs w:val="32"/>
        </w:rPr>
      </w:pPr>
      <w:r>
        <w:rPr>
          <w:rFonts w:hint="eastAsia" w:ascii="仿宋_GB2312" w:hAnsi="仿宋" w:eastAsia="仿宋_GB2312" w:cs="Arial"/>
          <w:sz w:val="32"/>
          <w:szCs w:val="32"/>
        </w:rPr>
        <w:t>（二）场址区内不存在全新活动断裂，地基稳定性较好。建筑场址区内河流不发育，地层岩性主要为片岩和片麻岩，不存在滑坡、泥石流等影响工程安全的不良地质作用。</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场址区地质构造较稳定，不良地质作用和地质灾害不发育，适宜本工程建筑。</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（三）</w:t>
      </w:r>
      <w:r>
        <w:rPr>
          <w:rFonts w:ascii="仿宋_GB2312" w:hAnsi="仿宋" w:eastAsia="仿宋_GB2312" w:cs="Arial"/>
          <w:sz w:val="32"/>
          <w:szCs w:val="32"/>
        </w:rPr>
        <w:t>根据《中国地震动参数区划图》（GB 18306-2015），在</w:t>
      </w:r>
      <w:r>
        <w:rPr>
          <w:rFonts w:hint="eastAsia" w:ascii="仿宋_GB2312" w:hAnsi="仿宋" w:eastAsia="仿宋_GB2312" w:cs="Arial"/>
          <w:sz w:val="32"/>
          <w:szCs w:val="32"/>
        </w:rPr>
        <w:t>Ⅱ类场地条件下，</w:t>
      </w:r>
      <w:r>
        <w:rPr>
          <w:rFonts w:ascii="仿宋_GB2312" w:hAnsi="仿宋" w:eastAsia="仿宋_GB2312" w:cs="Arial"/>
          <w:sz w:val="32"/>
          <w:szCs w:val="32"/>
        </w:rPr>
        <w:t>拟建</w:t>
      </w:r>
      <w:r>
        <w:rPr>
          <w:rFonts w:hint="eastAsia" w:ascii="仿宋_GB2312" w:hAnsi="仿宋" w:eastAsia="仿宋_GB2312" w:cs="Arial"/>
          <w:sz w:val="32"/>
          <w:szCs w:val="32"/>
        </w:rPr>
        <w:t>场址区</w:t>
      </w:r>
      <w:r>
        <w:rPr>
          <w:rFonts w:ascii="仿宋_GB2312" w:hAnsi="仿宋" w:eastAsia="仿宋_GB2312" w:cs="Arial"/>
          <w:sz w:val="32"/>
          <w:szCs w:val="32"/>
        </w:rPr>
        <w:t>基本地震动峰值加速度为0.</w:t>
      </w:r>
      <w:r>
        <w:rPr>
          <w:rFonts w:hint="eastAsia" w:ascii="仿宋_GB2312" w:hAnsi="仿宋" w:eastAsia="仿宋_GB2312" w:cs="Arial"/>
          <w:sz w:val="32"/>
          <w:szCs w:val="32"/>
        </w:rPr>
        <w:t>05</w:t>
      </w:r>
      <w:r>
        <w:rPr>
          <w:rFonts w:ascii="仿宋_GB2312" w:hAnsi="仿宋" w:eastAsia="仿宋_GB2312" w:cs="Arial"/>
          <w:sz w:val="32"/>
          <w:szCs w:val="32"/>
        </w:rPr>
        <w:t>g，相应的地震烈度为</w:t>
      </w:r>
      <w:r>
        <w:rPr>
          <w:rFonts w:hint="eastAsia" w:ascii="仿宋_GB2312" w:hAnsi="仿宋" w:eastAsia="仿宋_GB2312" w:cs="Arial"/>
          <w:sz w:val="32"/>
          <w:szCs w:val="32"/>
        </w:rPr>
        <w:t>Ⅵ</w:t>
      </w:r>
      <w:r>
        <w:rPr>
          <w:rFonts w:ascii="仿宋_GB2312" w:hAnsi="仿宋" w:eastAsia="仿宋_GB2312" w:cs="Arial"/>
          <w:sz w:val="32"/>
          <w:szCs w:val="32"/>
        </w:rPr>
        <w:t>度</w:t>
      </w:r>
      <w:r>
        <w:rPr>
          <w:rFonts w:hint="eastAsia" w:ascii="仿宋_GB2312" w:hAnsi="仿宋" w:eastAsia="仿宋_GB2312" w:cs="Arial"/>
          <w:sz w:val="32"/>
          <w:szCs w:val="32"/>
        </w:rPr>
        <w:t>，基本地震动加速度反应谱特征周期为0.3</w:t>
      </w:r>
      <w:r>
        <w:rPr>
          <w:rFonts w:ascii="仿宋_GB2312" w:hAnsi="仿宋" w:eastAsia="仿宋_GB2312" w:cs="Arial"/>
          <w:sz w:val="32"/>
          <w:szCs w:val="32"/>
        </w:rPr>
        <w:t>5</w:t>
      </w:r>
      <w:r>
        <w:rPr>
          <w:rFonts w:hint="eastAsia" w:ascii="仿宋_GB2312" w:hAnsi="仿宋" w:eastAsia="仿宋_GB2312" w:cs="Arial"/>
          <w:sz w:val="32"/>
          <w:szCs w:val="32"/>
        </w:rPr>
        <w:t>s</w:t>
      </w:r>
      <w:r>
        <w:rPr>
          <w:rFonts w:ascii="仿宋_GB2312" w:hAnsi="仿宋" w:eastAsia="仿宋_GB2312" w:cs="Arial"/>
          <w:sz w:val="32"/>
          <w:szCs w:val="32"/>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本工程</w:t>
      </w:r>
      <w:r>
        <w:rPr>
          <w:rFonts w:ascii="仿宋_GB2312" w:hAnsi="仿宋" w:eastAsia="仿宋_GB2312" w:cs="Arial"/>
          <w:sz w:val="32"/>
          <w:szCs w:val="32"/>
        </w:rPr>
        <w:t>在</w:t>
      </w:r>
      <w:r>
        <w:rPr>
          <w:rFonts w:hint="eastAsia" w:ascii="仿宋_GB2312" w:hAnsi="仿宋" w:eastAsia="仿宋_GB2312" w:cs="Arial"/>
          <w:sz w:val="32"/>
          <w:szCs w:val="32"/>
        </w:rPr>
        <w:t>Ⅲ类场地条件下，</w:t>
      </w:r>
      <w:r>
        <w:rPr>
          <w:rFonts w:ascii="仿宋_GB2312" w:hAnsi="仿宋" w:eastAsia="仿宋_GB2312" w:cs="Arial"/>
          <w:sz w:val="32"/>
          <w:szCs w:val="32"/>
        </w:rPr>
        <w:t>拟建</w:t>
      </w:r>
      <w:r>
        <w:rPr>
          <w:rFonts w:hint="eastAsia" w:ascii="仿宋_GB2312" w:hAnsi="仿宋" w:eastAsia="仿宋_GB2312" w:cs="Arial"/>
          <w:sz w:val="32"/>
          <w:szCs w:val="32"/>
        </w:rPr>
        <w:t>场址区</w:t>
      </w:r>
      <w:r>
        <w:rPr>
          <w:rFonts w:ascii="仿宋_GB2312" w:hAnsi="仿宋" w:eastAsia="仿宋_GB2312" w:cs="Arial"/>
          <w:sz w:val="32"/>
          <w:szCs w:val="32"/>
        </w:rPr>
        <w:t>基本地震动峰值加速度为0.</w:t>
      </w:r>
      <w:r>
        <w:rPr>
          <w:rFonts w:hint="eastAsia" w:ascii="仿宋_GB2312" w:hAnsi="仿宋" w:eastAsia="仿宋_GB2312" w:cs="Arial"/>
          <w:sz w:val="32"/>
          <w:szCs w:val="32"/>
        </w:rPr>
        <w:t>0</w:t>
      </w:r>
      <w:r>
        <w:rPr>
          <w:rFonts w:ascii="仿宋_GB2312" w:hAnsi="仿宋" w:eastAsia="仿宋_GB2312" w:cs="Arial"/>
          <w:sz w:val="32"/>
          <w:szCs w:val="32"/>
        </w:rPr>
        <w:t>65g，相应的地震烈度为</w:t>
      </w:r>
      <w:r>
        <w:rPr>
          <w:rFonts w:hint="eastAsia" w:ascii="仿宋_GB2312" w:hAnsi="仿宋" w:eastAsia="仿宋_GB2312" w:cs="Arial"/>
          <w:sz w:val="32"/>
          <w:szCs w:val="32"/>
        </w:rPr>
        <w:t>Ⅵ</w:t>
      </w:r>
      <w:r>
        <w:rPr>
          <w:rFonts w:ascii="仿宋_GB2312" w:hAnsi="仿宋" w:eastAsia="仿宋_GB2312" w:cs="Arial"/>
          <w:sz w:val="32"/>
          <w:szCs w:val="32"/>
        </w:rPr>
        <w:t>度</w:t>
      </w:r>
      <w:r>
        <w:rPr>
          <w:rFonts w:hint="eastAsia" w:ascii="仿宋_GB2312" w:hAnsi="仿宋" w:eastAsia="仿宋_GB2312" w:cs="Arial"/>
          <w:sz w:val="32"/>
          <w:szCs w:val="32"/>
        </w:rPr>
        <w:t>，基本地震动加速度反应谱特征周期为0.4</w:t>
      </w:r>
      <w:r>
        <w:rPr>
          <w:rFonts w:ascii="仿宋_GB2312" w:hAnsi="仿宋" w:eastAsia="仿宋_GB2312" w:cs="Arial"/>
          <w:sz w:val="32"/>
          <w:szCs w:val="32"/>
        </w:rPr>
        <w:t>5</w:t>
      </w:r>
      <w:r>
        <w:rPr>
          <w:rFonts w:hint="eastAsia" w:ascii="仿宋_GB2312" w:hAnsi="仿宋" w:eastAsia="仿宋_GB2312" w:cs="Arial"/>
          <w:sz w:val="32"/>
          <w:szCs w:val="32"/>
        </w:rPr>
        <w:t>s</w:t>
      </w:r>
      <w:r>
        <w:rPr>
          <w:rFonts w:ascii="仿宋_GB2312" w:hAnsi="仿宋" w:eastAsia="仿宋_GB2312" w:cs="Arial"/>
          <w:sz w:val="32"/>
          <w:szCs w:val="32"/>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（四）</w:t>
      </w:r>
      <w:r>
        <w:rPr>
          <w:rFonts w:ascii="仿宋_GB2312" w:hAnsi="仿宋" w:eastAsia="仿宋_GB2312" w:cs="Arial"/>
          <w:sz w:val="32"/>
          <w:szCs w:val="32"/>
        </w:rPr>
        <w:t>根据本次勘察揭露的地层资料，拟建</w:t>
      </w:r>
      <w:r>
        <w:rPr>
          <w:rFonts w:hint="eastAsia" w:ascii="仿宋_GB2312" w:hAnsi="仿宋" w:eastAsia="仿宋_GB2312" w:cs="Arial"/>
          <w:sz w:val="32"/>
          <w:szCs w:val="32"/>
        </w:rPr>
        <w:t>场址区</w:t>
      </w:r>
      <w:r>
        <w:rPr>
          <w:rFonts w:ascii="仿宋_GB2312" w:hAnsi="仿宋" w:eastAsia="仿宋_GB2312" w:cs="Arial"/>
          <w:sz w:val="32"/>
          <w:szCs w:val="32"/>
        </w:rPr>
        <w:t>范围内地层主要</w:t>
      </w:r>
      <w:r>
        <w:rPr>
          <w:rFonts w:hint="eastAsia" w:ascii="仿宋_GB2312" w:hAnsi="仿宋" w:eastAsia="仿宋_GB2312" w:cs="Arial"/>
          <w:sz w:val="32"/>
          <w:szCs w:val="32"/>
        </w:rPr>
        <w:t>为第四系上更新统风积（Q</w:t>
      </w:r>
      <w:r>
        <w:rPr>
          <w:rFonts w:hint="eastAsia" w:ascii="仿宋_GB2312" w:hAnsi="仿宋" w:eastAsia="仿宋_GB2312" w:cs="Arial"/>
          <w:sz w:val="32"/>
          <w:szCs w:val="32"/>
          <w:vertAlign w:val="subscript"/>
        </w:rPr>
        <w:t>3</w:t>
      </w:r>
      <w:r>
        <w:rPr>
          <w:rFonts w:hint="eastAsia" w:ascii="仿宋_GB2312" w:hAnsi="仿宋" w:eastAsia="仿宋_GB2312" w:cs="Arial"/>
          <w:sz w:val="32"/>
          <w:szCs w:val="32"/>
          <w:vertAlign w:val="superscript"/>
        </w:rPr>
        <w:t>eol</w:t>
      </w:r>
      <w:r>
        <w:rPr>
          <w:rFonts w:hint="eastAsia" w:ascii="仿宋_GB2312" w:hAnsi="仿宋" w:eastAsia="仿宋_GB2312" w:cs="Arial"/>
          <w:sz w:val="32"/>
          <w:szCs w:val="32"/>
        </w:rPr>
        <w:t>）黄土</w:t>
      </w:r>
      <w:r>
        <w:rPr>
          <w:rFonts w:ascii="仿宋_GB2312" w:hAnsi="仿宋" w:eastAsia="仿宋_GB2312" w:cs="Arial"/>
          <w:sz w:val="32"/>
          <w:szCs w:val="32"/>
        </w:rPr>
        <w:t>。</w:t>
      </w:r>
      <w:r>
        <w:rPr>
          <w:rFonts w:hint="eastAsia" w:ascii="仿宋_GB2312" w:hAnsi="仿宋" w:eastAsia="仿宋_GB2312" w:cs="Arial"/>
          <w:sz w:val="32"/>
          <w:szCs w:val="32"/>
        </w:rPr>
        <w:t>场址区</w:t>
      </w:r>
      <w:r>
        <w:rPr>
          <w:rFonts w:ascii="仿宋_GB2312" w:hAnsi="仿宋" w:eastAsia="仿宋_GB2312" w:cs="Arial"/>
          <w:sz w:val="32"/>
          <w:szCs w:val="32"/>
        </w:rPr>
        <w:t>内地层自上至下如下：</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黄土</w:t>
      </w:r>
      <w:r>
        <w:rPr>
          <w:rFonts w:ascii="仿宋_GB2312" w:hAnsi="仿宋" w:eastAsia="仿宋_GB2312" w:cs="Arial"/>
          <w:sz w:val="32"/>
          <w:szCs w:val="32"/>
        </w:rPr>
        <w:t>（层号</w:t>
      </w:r>
      <w:r>
        <w:rPr>
          <w:rFonts w:hint="eastAsia" w:ascii="仿宋_GB2312" w:hAnsi="仿宋" w:eastAsia="仿宋_GB2312" w:cs="Arial"/>
          <w:sz w:val="32"/>
          <w:szCs w:val="32"/>
        </w:rPr>
        <w:t>①</w:t>
      </w:r>
      <w:r>
        <w:rPr>
          <w:rFonts w:ascii="仿宋_GB2312" w:hAnsi="仿宋" w:eastAsia="仿宋_GB2312" w:cs="Arial"/>
          <w:sz w:val="32"/>
          <w:szCs w:val="32"/>
        </w:rPr>
        <w:t>）：</w:t>
      </w:r>
      <w:r>
        <w:rPr>
          <w:rFonts w:hint="eastAsia" w:ascii="仿宋_GB2312" w:hAnsi="仿宋" w:eastAsia="仿宋_GB2312" w:cs="Arial"/>
          <w:sz w:val="32"/>
          <w:szCs w:val="32"/>
        </w:rPr>
        <w:t>褐黄色，稍密～中密，稍湿，主要为粉土，夹粉质黏土层，土质不均匀，具大孔隙、虫洞，垂直节理，具湿陷性。该层在场址区均有分布，一般</w:t>
      </w:r>
      <w:r>
        <w:rPr>
          <w:rFonts w:ascii="仿宋_GB2312" w:hAnsi="仿宋" w:eastAsia="仿宋_GB2312" w:cs="Arial"/>
          <w:sz w:val="32"/>
          <w:szCs w:val="32"/>
        </w:rPr>
        <w:t>层厚</w:t>
      </w:r>
      <w:r>
        <w:rPr>
          <w:rFonts w:hint="eastAsia" w:ascii="仿宋_GB2312" w:hAnsi="仿宋" w:eastAsia="仿宋_GB2312" w:cs="Arial"/>
          <w:sz w:val="32"/>
          <w:szCs w:val="32"/>
        </w:rPr>
        <w:t>16</w:t>
      </w:r>
      <w:r>
        <w:rPr>
          <w:rFonts w:ascii="仿宋_GB2312" w:hAnsi="仿宋" w:eastAsia="仿宋_GB2312" w:cs="Arial"/>
          <w:sz w:val="32"/>
          <w:szCs w:val="32"/>
        </w:rPr>
        <w:t>.</w:t>
      </w:r>
      <w:r>
        <w:rPr>
          <w:rFonts w:hint="eastAsia" w:ascii="仿宋_GB2312" w:hAnsi="仿宋" w:eastAsia="仿宋_GB2312" w:cs="Arial"/>
          <w:sz w:val="32"/>
          <w:szCs w:val="32"/>
        </w:rPr>
        <w:t>9</w:t>
      </w:r>
      <w:r>
        <w:rPr>
          <w:rFonts w:ascii="仿宋_GB2312" w:hAnsi="仿宋" w:eastAsia="仿宋_GB2312" w:cs="Arial"/>
          <w:sz w:val="32"/>
          <w:szCs w:val="32"/>
        </w:rPr>
        <w:t>0</w:t>
      </w:r>
      <w:r>
        <w:rPr>
          <w:rFonts w:hint="eastAsia" w:ascii="仿宋_GB2312" w:hAnsi="仿宋" w:eastAsia="仿宋_GB2312" w:cs="Arial"/>
          <w:sz w:val="32"/>
          <w:szCs w:val="32"/>
        </w:rPr>
        <w:t>m～25.90</w:t>
      </w:r>
      <w:r>
        <w:rPr>
          <w:rFonts w:ascii="仿宋_GB2312" w:hAnsi="仿宋" w:eastAsia="仿宋_GB2312" w:cs="Arial"/>
          <w:sz w:val="32"/>
          <w:szCs w:val="32"/>
        </w:rPr>
        <w:t>m。</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黄土（</w:t>
      </w:r>
      <w:r>
        <w:rPr>
          <w:rFonts w:ascii="仿宋_GB2312" w:hAnsi="仿宋" w:eastAsia="仿宋_GB2312" w:cs="Arial"/>
          <w:sz w:val="32"/>
          <w:szCs w:val="32"/>
        </w:rPr>
        <w:t>层号</w:t>
      </w:r>
      <w:r>
        <w:rPr>
          <w:rFonts w:hint="eastAsia" w:ascii="仿宋_GB2312" w:hAnsi="仿宋" w:eastAsia="仿宋_GB2312" w:cs="Arial"/>
          <w:sz w:val="32"/>
          <w:szCs w:val="32"/>
        </w:rPr>
        <w:t>②）：褐黄色～黄褐色，中密，稍湿～湿，主要为粉土，底部含较多砂粒，土质不均匀，垂直节理。该层在场址区均有分布，一般</w:t>
      </w:r>
      <w:r>
        <w:rPr>
          <w:rFonts w:ascii="仿宋_GB2312" w:hAnsi="仿宋" w:eastAsia="仿宋_GB2312" w:cs="Arial"/>
          <w:sz w:val="32"/>
          <w:szCs w:val="32"/>
        </w:rPr>
        <w:t>层厚</w:t>
      </w:r>
      <w:r>
        <w:rPr>
          <w:rFonts w:hint="eastAsia" w:ascii="仿宋_GB2312" w:hAnsi="仿宋" w:eastAsia="仿宋_GB2312" w:cs="Arial"/>
          <w:sz w:val="32"/>
          <w:szCs w:val="32"/>
        </w:rPr>
        <w:t>大于15.00m，本次勘测未揭穿（40m范围内）</w:t>
      </w:r>
      <w:r>
        <w:rPr>
          <w:rFonts w:ascii="仿宋_GB2312" w:hAnsi="仿宋" w:eastAsia="仿宋_GB2312" w:cs="Arial"/>
          <w:sz w:val="32"/>
          <w:szCs w:val="32"/>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（五）水文条件</w:t>
      </w:r>
    </w:p>
    <w:p>
      <w:pPr>
        <w:pStyle w:val="21"/>
        <w:snapToGrid w:val="0"/>
        <w:spacing w:line="560" w:lineRule="exact"/>
        <w:ind w:firstLine="640" w:firstLineChars="200"/>
        <w:jc w:val="both"/>
        <w:rPr>
          <w:rFonts w:hint="eastAsia" w:ascii="仿宋_GB2312" w:hAnsi="仿宋" w:eastAsia="仿宋_GB2312" w:cs="Arial"/>
          <w:sz w:val="32"/>
          <w:szCs w:val="32"/>
          <w:lang w:eastAsia="zh-CN"/>
        </w:rPr>
      </w:pPr>
      <w:r>
        <w:rPr>
          <w:rFonts w:hint="eastAsia" w:ascii="仿宋_GB2312" w:hAnsi="仿宋" w:eastAsia="仿宋_GB2312" w:cs="Arial"/>
          <w:sz w:val="32"/>
          <w:szCs w:val="32"/>
        </w:rPr>
        <w:t>勘察期间，勘察深度内未见地下水。根据区域水文地质资料及水文地质调查，场址区地下水埋藏较深</w:t>
      </w:r>
      <w:r>
        <w:rPr>
          <w:rFonts w:hint="eastAsia" w:ascii="仿宋_GB2312" w:hAnsi="仿宋" w:eastAsia="仿宋_GB2312" w:cs="Arial"/>
          <w:sz w:val="32"/>
          <w:szCs w:val="32"/>
          <w:lang w:eastAsia="zh-CN"/>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土对混凝土结构具微腐蚀性，对钢筋混凝土中的钢筋具微腐蚀性，对钢结构具微腐蚀性。</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（六）冻土深度</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本工程标准冻结</w:t>
      </w:r>
      <w:r>
        <w:rPr>
          <w:rFonts w:hint="eastAsia" w:ascii="仿宋_GB2312" w:hAnsi="仿宋_GB2312" w:eastAsia="仿宋_GB2312"/>
          <w:color w:val="auto"/>
          <w:kern w:val="2"/>
          <w:sz w:val="32"/>
          <w:szCs w:val="32"/>
        </w:rPr>
        <w:t>深度</w:t>
      </w:r>
      <w:r>
        <w:rPr>
          <w:rFonts w:hint="eastAsia" w:ascii="仿宋_GB2312" w:hAnsi="仿宋" w:eastAsia="仿宋_GB2312" w:cs="Arial"/>
          <w:sz w:val="32"/>
          <w:szCs w:val="32"/>
        </w:rPr>
        <w:t>按1.1m考虑，拟建场址区冻结深度内黄土</w:t>
      </w:r>
      <w:r>
        <w:rPr>
          <w:rFonts w:ascii="仿宋_GB2312" w:hAnsi="仿宋" w:eastAsia="仿宋_GB2312" w:cs="Arial"/>
          <w:sz w:val="32"/>
          <w:szCs w:val="32"/>
        </w:rPr>
        <w:t>（层号</w:t>
      </w:r>
      <w:r>
        <w:rPr>
          <w:rFonts w:hint="eastAsia" w:ascii="仿宋_GB2312" w:hAnsi="仿宋" w:eastAsia="仿宋_GB2312" w:cs="Arial"/>
          <w:sz w:val="32"/>
          <w:szCs w:val="32"/>
        </w:rPr>
        <w:t>①</w:t>
      </w:r>
      <w:r>
        <w:rPr>
          <w:rFonts w:ascii="仿宋_GB2312" w:hAnsi="仿宋" w:eastAsia="仿宋_GB2312" w:cs="Arial"/>
          <w:sz w:val="32"/>
          <w:szCs w:val="32"/>
        </w:rPr>
        <w:t>）</w:t>
      </w:r>
      <w:r>
        <w:rPr>
          <w:rFonts w:hint="eastAsia" w:ascii="仿宋_GB2312" w:hAnsi="仿宋" w:eastAsia="仿宋_GB2312" w:cs="Arial"/>
          <w:sz w:val="32"/>
          <w:szCs w:val="32"/>
        </w:rPr>
        <w:t>可按弱冻胀考虑。</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（七）特殊性岩土</w:t>
      </w:r>
      <w:r>
        <w:rPr>
          <w:rFonts w:hint="eastAsia" w:ascii="仿宋_GB2312" w:hAnsi="仿宋_GB2312" w:eastAsia="仿宋_GB2312"/>
          <w:color w:val="auto"/>
          <w:kern w:val="2"/>
          <w:sz w:val="32"/>
          <w:szCs w:val="32"/>
        </w:rPr>
        <w:t>评价</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根据本次勘测所取土样进行试验得到的《</w:t>
      </w:r>
      <w:r>
        <w:rPr>
          <w:rFonts w:ascii="仿宋_GB2312" w:hAnsi="仿宋" w:eastAsia="仿宋_GB2312" w:cs="Arial"/>
          <w:sz w:val="32"/>
          <w:szCs w:val="32"/>
        </w:rPr>
        <w:t>土工试验成果表</w:t>
      </w:r>
      <w:r>
        <w:rPr>
          <w:rFonts w:hint="eastAsia" w:ascii="仿宋_GB2312" w:hAnsi="仿宋" w:eastAsia="仿宋_GB2312" w:cs="Arial"/>
          <w:sz w:val="32"/>
          <w:szCs w:val="32"/>
        </w:rPr>
        <w:t>》</w:t>
      </w:r>
      <w:r>
        <w:rPr>
          <w:rFonts w:ascii="仿宋_GB2312" w:hAnsi="仿宋" w:eastAsia="仿宋_GB2312" w:cs="Arial"/>
          <w:sz w:val="32"/>
          <w:szCs w:val="32"/>
        </w:rPr>
        <w:t>试验</w:t>
      </w:r>
      <w:r>
        <w:rPr>
          <w:rFonts w:hint="eastAsia" w:ascii="仿宋_GB2312" w:hAnsi="仿宋" w:eastAsia="仿宋_GB2312" w:cs="Arial"/>
          <w:sz w:val="32"/>
          <w:szCs w:val="32"/>
        </w:rPr>
        <w:t>结</w:t>
      </w:r>
      <w:r>
        <w:rPr>
          <w:rFonts w:ascii="仿宋_GB2312" w:hAnsi="仿宋" w:eastAsia="仿宋_GB2312" w:cs="Arial"/>
          <w:sz w:val="32"/>
          <w:szCs w:val="32"/>
        </w:rPr>
        <w:t>果分析：黄土</w:t>
      </w:r>
      <w:r>
        <w:rPr>
          <w:rFonts w:hint="eastAsia" w:ascii="仿宋_GB2312" w:hAnsi="仿宋" w:eastAsia="仿宋_GB2312" w:cs="Arial"/>
          <w:sz w:val="32"/>
          <w:szCs w:val="32"/>
        </w:rPr>
        <w:t>（层号①）自重</w:t>
      </w:r>
      <w:r>
        <w:rPr>
          <w:rFonts w:ascii="仿宋_GB2312" w:hAnsi="仿宋" w:eastAsia="仿宋_GB2312" w:cs="Arial"/>
          <w:sz w:val="32"/>
          <w:szCs w:val="32"/>
        </w:rPr>
        <w:t>湿陷系数为0.00</w:t>
      </w:r>
      <w:r>
        <w:rPr>
          <w:rFonts w:hint="eastAsia" w:ascii="仿宋_GB2312" w:hAnsi="仿宋" w:eastAsia="仿宋_GB2312" w:cs="Arial"/>
          <w:sz w:val="32"/>
          <w:szCs w:val="32"/>
        </w:rPr>
        <w:t>2～</w:t>
      </w:r>
      <w:r>
        <w:rPr>
          <w:rFonts w:ascii="仿宋_GB2312" w:hAnsi="仿宋" w:eastAsia="仿宋_GB2312" w:cs="Arial"/>
          <w:sz w:val="32"/>
          <w:szCs w:val="32"/>
        </w:rPr>
        <w:t>0.</w:t>
      </w:r>
      <w:r>
        <w:rPr>
          <w:rFonts w:hint="eastAsia" w:ascii="仿宋_GB2312" w:hAnsi="仿宋" w:eastAsia="仿宋_GB2312" w:cs="Arial"/>
          <w:sz w:val="32"/>
          <w:szCs w:val="32"/>
        </w:rPr>
        <w:t>087</w:t>
      </w:r>
      <w:r>
        <w:rPr>
          <w:rFonts w:ascii="仿宋_GB2312" w:hAnsi="仿宋" w:eastAsia="仿宋_GB2312" w:cs="Arial"/>
          <w:sz w:val="32"/>
          <w:szCs w:val="32"/>
        </w:rPr>
        <w:t>，湿陷系数为0.00</w:t>
      </w:r>
      <w:r>
        <w:rPr>
          <w:rFonts w:hint="eastAsia" w:ascii="仿宋_GB2312" w:hAnsi="仿宋" w:eastAsia="仿宋_GB2312" w:cs="Arial"/>
          <w:sz w:val="32"/>
          <w:szCs w:val="32"/>
        </w:rPr>
        <w:t>5～</w:t>
      </w:r>
      <w:r>
        <w:rPr>
          <w:rFonts w:ascii="仿宋_GB2312" w:hAnsi="仿宋" w:eastAsia="仿宋_GB2312" w:cs="Arial"/>
          <w:sz w:val="32"/>
          <w:szCs w:val="32"/>
        </w:rPr>
        <w:t>0.</w:t>
      </w:r>
      <w:r>
        <w:rPr>
          <w:rFonts w:hint="eastAsia" w:ascii="仿宋_GB2312" w:hAnsi="仿宋" w:eastAsia="仿宋_GB2312" w:cs="Arial"/>
          <w:sz w:val="32"/>
          <w:szCs w:val="32"/>
        </w:rPr>
        <w:t>098，湿陷起始压力22kPa～444kPa，综合分析为湿陷性黄土，湿陷深度为16</w:t>
      </w:r>
      <w:r>
        <w:rPr>
          <w:rFonts w:ascii="仿宋_GB2312" w:hAnsi="仿宋" w:eastAsia="仿宋_GB2312" w:cs="Arial"/>
          <w:sz w:val="32"/>
          <w:szCs w:val="32"/>
        </w:rPr>
        <w:t>.</w:t>
      </w:r>
      <w:r>
        <w:rPr>
          <w:rFonts w:hint="eastAsia" w:ascii="仿宋_GB2312" w:hAnsi="仿宋" w:eastAsia="仿宋_GB2312" w:cs="Arial"/>
          <w:sz w:val="32"/>
          <w:szCs w:val="32"/>
        </w:rPr>
        <w:t>9</w:t>
      </w:r>
      <w:r>
        <w:rPr>
          <w:rFonts w:ascii="仿宋_GB2312" w:hAnsi="仿宋" w:eastAsia="仿宋_GB2312" w:cs="Arial"/>
          <w:sz w:val="32"/>
          <w:szCs w:val="32"/>
        </w:rPr>
        <w:t>0</w:t>
      </w:r>
      <w:r>
        <w:rPr>
          <w:rFonts w:hint="eastAsia" w:ascii="仿宋_GB2312" w:hAnsi="仿宋" w:eastAsia="仿宋_GB2312" w:cs="Arial"/>
          <w:sz w:val="32"/>
          <w:szCs w:val="32"/>
        </w:rPr>
        <w:t>m</w:t>
      </w:r>
      <w:r>
        <w:rPr>
          <w:rFonts w:ascii="仿宋_GB2312" w:hAnsi="仿宋" w:eastAsia="仿宋_GB2312" w:cs="Arial"/>
          <w:sz w:val="32"/>
          <w:szCs w:val="32"/>
        </w:rPr>
        <w:t>～</w:t>
      </w:r>
      <w:r>
        <w:rPr>
          <w:rFonts w:hint="eastAsia" w:ascii="仿宋_GB2312" w:hAnsi="仿宋" w:eastAsia="仿宋_GB2312" w:cs="Arial"/>
          <w:sz w:val="32"/>
          <w:szCs w:val="32"/>
        </w:rPr>
        <w:t>25.90</w:t>
      </w:r>
      <w:r>
        <w:rPr>
          <w:rFonts w:ascii="仿宋_GB2312" w:hAnsi="仿宋" w:eastAsia="仿宋_GB2312" w:cs="Arial"/>
          <w:sz w:val="32"/>
          <w:szCs w:val="32"/>
        </w:rPr>
        <w:t>m</w:t>
      </w:r>
      <w:r>
        <w:rPr>
          <w:rFonts w:hint="eastAsia" w:ascii="仿宋_GB2312" w:hAnsi="仿宋" w:eastAsia="仿宋_GB2312" w:cs="Arial"/>
          <w:sz w:val="32"/>
          <w:szCs w:val="32"/>
        </w:rPr>
        <w:t>；</w:t>
      </w:r>
      <w:r>
        <w:rPr>
          <w:rFonts w:ascii="仿宋_GB2312" w:hAnsi="仿宋" w:eastAsia="仿宋_GB2312" w:cs="Arial"/>
          <w:sz w:val="32"/>
          <w:szCs w:val="32"/>
        </w:rPr>
        <w:t>黄土</w:t>
      </w:r>
      <w:r>
        <w:rPr>
          <w:rFonts w:hint="eastAsia" w:ascii="仿宋_GB2312" w:hAnsi="仿宋" w:eastAsia="仿宋_GB2312" w:cs="Arial"/>
          <w:sz w:val="32"/>
          <w:szCs w:val="32"/>
        </w:rPr>
        <w:t>（</w:t>
      </w:r>
      <w:r>
        <w:rPr>
          <w:rFonts w:ascii="仿宋_GB2312" w:hAnsi="仿宋" w:eastAsia="仿宋_GB2312" w:cs="Arial"/>
          <w:sz w:val="32"/>
          <w:szCs w:val="32"/>
        </w:rPr>
        <w:t>层号</w:t>
      </w:r>
      <w:r>
        <w:rPr>
          <w:rFonts w:hint="eastAsia" w:ascii="仿宋_GB2312" w:hAnsi="仿宋" w:eastAsia="仿宋_GB2312" w:cs="Arial"/>
          <w:sz w:val="32"/>
          <w:szCs w:val="32"/>
        </w:rPr>
        <w:t>②）自重</w:t>
      </w:r>
      <w:r>
        <w:rPr>
          <w:rFonts w:ascii="仿宋_GB2312" w:hAnsi="仿宋" w:eastAsia="仿宋_GB2312" w:cs="Arial"/>
          <w:sz w:val="32"/>
          <w:szCs w:val="32"/>
        </w:rPr>
        <w:t>湿陷系数为0.00</w:t>
      </w:r>
      <w:r>
        <w:rPr>
          <w:rFonts w:hint="eastAsia" w:ascii="仿宋_GB2312" w:hAnsi="仿宋" w:eastAsia="仿宋_GB2312" w:cs="Arial"/>
          <w:sz w:val="32"/>
          <w:szCs w:val="32"/>
        </w:rPr>
        <w:t>5～</w:t>
      </w:r>
      <w:r>
        <w:rPr>
          <w:rFonts w:ascii="仿宋_GB2312" w:hAnsi="仿宋" w:eastAsia="仿宋_GB2312" w:cs="Arial"/>
          <w:sz w:val="32"/>
          <w:szCs w:val="32"/>
        </w:rPr>
        <w:t>0.</w:t>
      </w:r>
      <w:r>
        <w:rPr>
          <w:rFonts w:hint="eastAsia" w:ascii="仿宋_GB2312" w:hAnsi="仿宋" w:eastAsia="仿宋_GB2312" w:cs="Arial"/>
          <w:sz w:val="32"/>
          <w:szCs w:val="32"/>
        </w:rPr>
        <w:t>0</w:t>
      </w:r>
      <w:r>
        <w:rPr>
          <w:rFonts w:ascii="仿宋_GB2312" w:hAnsi="仿宋" w:eastAsia="仿宋_GB2312" w:cs="Arial"/>
          <w:sz w:val="32"/>
          <w:szCs w:val="32"/>
        </w:rPr>
        <w:t>14，湿陷系数为0.00</w:t>
      </w:r>
      <w:r>
        <w:rPr>
          <w:rFonts w:hint="eastAsia" w:ascii="仿宋_GB2312" w:hAnsi="仿宋" w:eastAsia="仿宋_GB2312" w:cs="Arial"/>
          <w:sz w:val="32"/>
          <w:szCs w:val="32"/>
        </w:rPr>
        <w:t>5～</w:t>
      </w:r>
      <w:r>
        <w:rPr>
          <w:rFonts w:ascii="仿宋_GB2312" w:hAnsi="仿宋" w:eastAsia="仿宋_GB2312" w:cs="Arial"/>
          <w:sz w:val="32"/>
          <w:szCs w:val="32"/>
        </w:rPr>
        <w:t>0.014</w:t>
      </w:r>
      <w:r>
        <w:rPr>
          <w:rFonts w:hint="eastAsia" w:ascii="仿宋_GB2312" w:hAnsi="仿宋" w:eastAsia="仿宋_GB2312" w:cs="Arial"/>
          <w:sz w:val="32"/>
          <w:szCs w:val="32"/>
        </w:rPr>
        <w:t>，湿陷起始压力330～725kPa，综合分析为非湿陷性黄土。</w:t>
      </w:r>
    </w:p>
    <w:p>
      <w:pPr>
        <w:pStyle w:val="21"/>
        <w:snapToGrid w:val="0"/>
        <w:spacing w:line="560" w:lineRule="exact"/>
        <w:ind w:firstLine="640" w:firstLineChars="200"/>
        <w:jc w:val="both"/>
      </w:pPr>
      <w:r>
        <w:rPr>
          <w:rFonts w:hint="eastAsia" w:ascii="仿宋_GB2312" w:hAnsi="仿宋" w:eastAsia="仿宋_GB2312" w:cs="Arial"/>
          <w:sz w:val="32"/>
          <w:szCs w:val="32"/>
        </w:rPr>
        <w:t>综合分析各风电机组位置</w:t>
      </w:r>
      <w:r>
        <w:rPr>
          <w:rFonts w:hint="eastAsia" w:ascii="仿宋_GB2312" w:hAnsi="仿宋_GB2312" w:eastAsia="仿宋_GB2312"/>
          <w:color w:val="auto"/>
          <w:kern w:val="2"/>
          <w:sz w:val="32"/>
          <w:szCs w:val="32"/>
        </w:rPr>
        <w:t>场址区</w:t>
      </w:r>
      <w:r>
        <w:rPr>
          <w:rFonts w:hint="eastAsia" w:ascii="仿宋_GB2312" w:hAnsi="仿宋" w:eastAsia="仿宋_GB2312" w:cs="Arial"/>
          <w:sz w:val="32"/>
          <w:szCs w:val="32"/>
        </w:rPr>
        <w:t>的湿陷等级Ⅱ～Ⅵ级。大部分为自重湿陷。</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四、风资源评估部分</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（一）参证气象站选择</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同意设计单位选择位于本工程场址北侧约40km的靖边气象站作为参证气象站。气象站观测海拔高度约1336m，根据气象站的统计数据分析，本地区多年平均气温8.8℃，平均气压867.7hPa，平均雷暴日24.9d，年平均降水量384.5mm，主导风向SSW。</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（二）测风塔选择及数据分析</w:t>
      </w:r>
    </w:p>
    <w:p>
      <w:pPr>
        <w:widowControl w:val="0"/>
        <w:adjustRightInd w:val="0"/>
        <w:snapToGrid w:val="0"/>
        <w:spacing w:line="560" w:lineRule="exact"/>
        <w:ind w:firstLine="640" w:firstLineChars="200"/>
      </w:pPr>
      <w:r>
        <w:rPr>
          <w:rFonts w:hint="eastAsia" w:ascii="仿宋_GB2312" w:hAnsi="仿宋_GB2312" w:eastAsia="仿宋_GB2312"/>
          <w:sz w:val="32"/>
          <w:szCs w:val="32"/>
        </w:rPr>
        <w:t>1</w:t>
      </w:r>
      <w:r>
        <w:rPr>
          <w:rFonts w:ascii="仿宋_GB2312" w:hAnsi="仿宋_GB2312" w:eastAsia="仿宋_GB2312"/>
          <w:sz w:val="32"/>
          <w:szCs w:val="32"/>
        </w:rPr>
        <w:t xml:space="preserve">. </w:t>
      </w:r>
      <w:r>
        <w:rPr>
          <w:rFonts w:hint="eastAsia" w:ascii="仿宋_GB2312" w:eastAsia="仿宋_GB2312"/>
          <w:sz w:val="32"/>
          <w:szCs w:val="32"/>
        </w:rPr>
        <w:t>本工程拟选场址区为山地地形，</w:t>
      </w:r>
      <w:r>
        <w:rPr>
          <w:rFonts w:hint="eastAsia" w:ascii="仿宋_GB2312" w:hAnsi="仿宋_GB2312" w:eastAsia="仿宋_GB2312"/>
          <w:sz w:val="32"/>
          <w:szCs w:val="32"/>
        </w:rPr>
        <w:t>本阶段收集到场址区内6座测风塔实测数据，</w:t>
      </w:r>
      <w:r>
        <w:rPr>
          <w:rFonts w:hint="eastAsia" w:ascii="仿宋_GB2312" w:eastAsia="仿宋_GB2312"/>
          <w:sz w:val="32"/>
          <w:szCs w:val="32"/>
        </w:rPr>
        <w:t>6座测风塔对场址区拟选机位点代表性较好，</w:t>
      </w:r>
      <w:r>
        <w:rPr>
          <w:rFonts w:hint="eastAsia" w:ascii="仿宋_GB2312" w:hAnsi="仿宋_GB2312" w:eastAsia="仿宋_GB2312"/>
          <w:sz w:val="32"/>
          <w:szCs w:val="32"/>
        </w:rPr>
        <w:t>测风塔信息如下。</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9"/>
        <w:gridCol w:w="1546"/>
        <w:gridCol w:w="1578"/>
        <w:gridCol w:w="4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right="-130" w:rightChars="-54" w:firstLine="0" w:firstLineChars="0"/>
              <w:rPr>
                <w:rFonts w:ascii="Calibri" w:hAnsi="Calibri" w:eastAsia="仿宋_GB2312"/>
                <w:b/>
                <w:bCs/>
                <w:color w:val="auto"/>
                <w:spacing w:val="0"/>
                <w:kern w:val="0"/>
                <w:sz w:val="21"/>
                <w:szCs w:val="21"/>
              </w:rPr>
            </w:pPr>
            <w:r>
              <w:rPr>
                <w:rFonts w:hint="eastAsia" w:ascii="仿宋_GB2312" w:hAnsi="仿宋_GB2312" w:eastAsia="仿宋_GB2312"/>
                <w:b/>
                <w:bCs/>
                <w:color w:val="auto"/>
                <w:spacing w:val="0"/>
                <w:kern w:val="0"/>
                <w:sz w:val="21"/>
                <w:szCs w:val="21"/>
              </w:rPr>
              <w:t>测风塔编号</w:t>
            </w:r>
          </w:p>
        </w:tc>
        <w:tc>
          <w:tcPr>
            <w:tcW w:w="1546" w:type="dxa"/>
            <w:vAlign w:val="center"/>
          </w:tcPr>
          <w:p>
            <w:pPr>
              <w:pStyle w:val="20"/>
              <w:widowControl w:val="0"/>
              <w:spacing w:line="240" w:lineRule="exact"/>
              <w:ind w:firstLine="0" w:firstLineChars="0"/>
              <w:rPr>
                <w:rFonts w:ascii="Calibri" w:hAnsi="Calibri" w:eastAsia="仿宋_GB2312"/>
                <w:b/>
                <w:bCs/>
                <w:color w:val="auto"/>
                <w:spacing w:val="0"/>
                <w:kern w:val="0"/>
                <w:sz w:val="21"/>
                <w:szCs w:val="21"/>
              </w:rPr>
            </w:pPr>
            <w:r>
              <w:rPr>
                <w:rFonts w:hint="eastAsia" w:ascii="仿宋_GB2312" w:hAnsi="仿宋_GB2312" w:eastAsia="仿宋_GB2312"/>
                <w:b/>
                <w:bCs/>
                <w:color w:val="auto"/>
                <w:spacing w:val="0"/>
                <w:kern w:val="0"/>
                <w:sz w:val="21"/>
                <w:szCs w:val="21"/>
              </w:rPr>
              <w:t>海拔高程（</w:t>
            </w:r>
            <w:r>
              <w:rPr>
                <w:rFonts w:ascii="仿宋_GB2312" w:hAnsi="仿宋_GB2312" w:eastAsia="仿宋_GB2312"/>
                <w:b/>
                <w:bCs/>
                <w:color w:val="auto"/>
                <w:spacing w:val="0"/>
                <w:kern w:val="0"/>
                <w:sz w:val="21"/>
                <w:szCs w:val="21"/>
              </w:rPr>
              <w:t>m</w:t>
            </w:r>
            <w:r>
              <w:rPr>
                <w:rFonts w:hint="eastAsia" w:ascii="仿宋_GB2312" w:hAnsi="仿宋_GB2312" w:eastAsia="仿宋_GB2312"/>
                <w:b/>
                <w:bCs/>
                <w:color w:val="auto"/>
                <w:spacing w:val="0"/>
                <w:kern w:val="0"/>
                <w:sz w:val="21"/>
                <w:szCs w:val="21"/>
              </w:rPr>
              <w:t>）</w:t>
            </w:r>
          </w:p>
        </w:tc>
        <w:tc>
          <w:tcPr>
            <w:tcW w:w="1578" w:type="dxa"/>
            <w:vAlign w:val="center"/>
          </w:tcPr>
          <w:p>
            <w:pPr>
              <w:pStyle w:val="20"/>
              <w:widowControl w:val="0"/>
              <w:spacing w:line="240" w:lineRule="exact"/>
              <w:ind w:firstLine="0" w:firstLineChars="0"/>
              <w:rPr>
                <w:rFonts w:ascii="Calibri" w:hAnsi="Calibri" w:eastAsia="仿宋_GB2312"/>
                <w:b/>
                <w:bCs/>
                <w:color w:val="auto"/>
                <w:spacing w:val="0"/>
                <w:kern w:val="0"/>
                <w:sz w:val="21"/>
                <w:szCs w:val="21"/>
              </w:rPr>
            </w:pPr>
            <w:r>
              <w:rPr>
                <w:rFonts w:hint="eastAsia" w:ascii="仿宋_GB2312" w:hAnsi="仿宋_GB2312" w:eastAsia="仿宋_GB2312"/>
                <w:b/>
                <w:bCs/>
                <w:color w:val="auto"/>
                <w:spacing w:val="0"/>
                <w:kern w:val="0"/>
                <w:sz w:val="21"/>
                <w:szCs w:val="21"/>
              </w:rPr>
              <w:t>塔高（</w:t>
            </w:r>
            <w:r>
              <w:rPr>
                <w:rFonts w:ascii="仿宋_GB2312" w:hAnsi="仿宋_GB2312" w:eastAsia="仿宋_GB2312"/>
                <w:b/>
                <w:bCs/>
                <w:color w:val="auto"/>
                <w:spacing w:val="0"/>
                <w:kern w:val="0"/>
                <w:sz w:val="21"/>
                <w:szCs w:val="21"/>
              </w:rPr>
              <w:t>m</w:t>
            </w:r>
            <w:r>
              <w:rPr>
                <w:rFonts w:hint="eastAsia" w:ascii="仿宋_GB2312" w:hAnsi="仿宋_GB2312" w:eastAsia="仿宋_GB2312"/>
                <w:b/>
                <w:bCs/>
                <w:color w:val="auto"/>
                <w:spacing w:val="0"/>
                <w:kern w:val="0"/>
                <w:sz w:val="21"/>
                <w:szCs w:val="21"/>
              </w:rPr>
              <w:t>）</w:t>
            </w:r>
          </w:p>
        </w:tc>
        <w:tc>
          <w:tcPr>
            <w:tcW w:w="4179" w:type="dxa"/>
            <w:vAlign w:val="center"/>
          </w:tcPr>
          <w:p>
            <w:pPr>
              <w:pStyle w:val="20"/>
              <w:widowControl w:val="0"/>
              <w:spacing w:line="240" w:lineRule="exact"/>
              <w:ind w:firstLine="0" w:firstLineChars="0"/>
              <w:rPr>
                <w:rFonts w:ascii="Calibri" w:hAnsi="Calibri" w:eastAsia="仿宋_GB2312"/>
                <w:b/>
                <w:bCs/>
                <w:color w:val="auto"/>
                <w:spacing w:val="0"/>
                <w:kern w:val="0"/>
                <w:sz w:val="21"/>
                <w:szCs w:val="21"/>
              </w:rPr>
            </w:pPr>
            <w:r>
              <w:rPr>
                <w:rFonts w:hint="eastAsia" w:ascii="仿宋_GB2312" w:hAnsi="仿宋_GB2312" w:eastAsia="仿宋_GB2312"/>
                <w:b/>
                <w:bCs/>
                <w:color w:val="auto"/>
                <w:spacing w:val="0"/>
                <w:kern w:val="0"/>
                <w:sz w:val="21"/>
                <w:szCs w:val="21"/>
              </w:rPr>
              <w:t>代表年时段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8899#</w:t>
            </w:r>
          </w:p>
        </w:tc>
        <w:tc>
          <w:tcPr>
            <w:tcW w:w="1546"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1734</w:t>
            </w:r>
          </w:p>
        </w:tc>
        <w:tc>
          <w:tcPr>
            <w:tcW w:w="1578"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90</w:t>
            </w:r>
          </w:p>
        </w:tc>
        <w:tc>
          <w:tcPr>
            <w:tcW w:w="417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2015</w:t>
            </w:r>
            <w:r>
              <w:rPr>
                <w:rFonts w:hint="eastAsia" w:ascii="仿宋_GB2312" w:hAnsi="仿宋_GB2312" w:eastAsia="仿宋_GB2312"/>
                <w:color w:val="auto"/>
                <w:spacing w:val="0"/>
                <w:kern w:val="0"/>
                <w:sz w:val="21"/>
                <w:szCs w:val="21"/>
              </w:rPr>
              <w:t>年</w:t>
            </w:r>
            <w:r>
              <w:rPr>
                <w:rFonts w:ascii="仿宋_GB2312" w:hAnsi="仿宋_GB2312" w:eastAsia="仿宋_GB2312"/>
                <w:color w:val="auto"/>
                <w:spacing w:val="0"/>
                <w:kern w:val="0"/>
                <w:sz w:val="21"/>
                <w:szCs w:val="21"/>
              </w:rPr>
              <w:t>10</w:t>
            </w:r>
            <w:r>
              <w:rPr>
                <w:rFonts w:hint="eastAsia" w:ascii="仿宋_GB2312" w:hAnsi="仿宋_GB2312" w:eastAsia="仿宋_GB2312"/>
                <w:color w:val="auto"/>
                <w:spacing w:val="0"/>
                <w:kern w:val="0"/>
                <w:sz w:val="21"/>
                <w:szCs w:val="21"/>
              </w:rPr>
              <w:t>月</w:t>
            </w:r>
            <w:r>
              <w:rPr>
                <w:rFonts w:ascii="仿宋_GB2312" w:hAnsi="仿宋_GB2312" w:eastAsia="仿宋_GB2312"/>
                <w:color w:val="auto"/>
                <w:spacing w:val="0"/>
                <w:kern w:val="0"/>
                <w:sz w:val="21"/>
                <w:szCs w:val="21"/>
              </w:rPr>
              <w:t>1</w:t>
            </w:r>
            <w:r>
              <w:rPr>
                <w:rFonts w:hint="eastAsia" w:ascii="仿宋_GB2312" w:hAnsi="仿宋_GB2312" w:eastAsia="仿宋_GB2312"/>
                <w:color w:val="auto"/>
                <w:spacing w:val="0"/>
                <w:kern w:val="0"/>
                <w:sz w:val="21"/>
                <w:szCs w:val="21"/>
              </w:rPr>
              <w:t>日～</w:t>
            </w:r>
            <w:r>
              <w:rPr>
                <w:rFonts w:ascii="仿宋_GB2312" w:hAnsi="仿宋_GB2312" w:eastAsia="仿宋_GB2312"/>
                <w:color w:val="auto"/>
                <w:spacing w:val="0"/>
                <w:kern w:val="0"/>
                <w:sz w:val="21"/>
                <w:szCs w:val="21"/>
              </w:rPr>
              <w:t>2016</w:t>
            </w:r>
            <w:r>
              <w:rPr>
                <w:rFonts w:hint="eastAsia" w:ascii="仿宋_GB2312" w:hAnsi="仿宋_GB2312" w:eastAsia="仿宋_GB2312"/>
                <w:color w:val="auto"/>
                <w:spacing w:val="0"/>
                <w:kern w:val="0"/>
                <w:sz w:val="21"/>
                <w:szCs w:val="21"/>
              </w:rPr>
              <w:t>年</w:t>
            </w:r>
            <w:r>
              <w:rPr>
                <w:rFonts w:ascii="仿宋_GB2312" w:hAnsi="仿宋_GB2312" w:eastAsia="仿宋_GB2312"/>
                <w:color w:val="auto"/>
                <w:spacing w:val="0"/>
                <w:kern w:val="0"/>
                <w:sz w:val="21"/>
                <w:szCs w:val="21"/>
              </w:rPr>
              <w:t>9</w:t>
            </w:r>
            <w:r>
              <w:rPr>
                <w:rFonts w:hint="eastAsia" w:ascii="仿宋_GB2312" w:hAnsi="仿宋_GB2312" w:eastAsia="仿宋_GB2312"/>
                <w:color w:val="auto"/>
                <w:spacing w:val="0"/>
                <w:kern w:val="0"/>
                <w:sz w:val="21"/>
                <w:szCs w:val="21"/>
              </w:rPr>
              <w:t>月</w:t>
            </w:r>
            <w:r>
              <w:rPr>
                <w:rFonts w:ascii="仿宋_GB2312" w:hAnsi="仿宋_GB2312" w:eastAsia="仿宋_GB2312"/>
                <w:color w:val="auto"/>
                <w:spacing w:val="0"/>
                <w:kern w:val="0"/>
                <w:sz w:val="21"/>
                <w:szCs w:val="21"/>
              </w:rPr>
              <w:t>30</w:t>
            </w:r>
            <w:r>
              <w:rPr>
                <w:rFonts w:hint="eastAsia" w:ascii="仿宋_GB2312" w:hAnsi="仿宋_GB2312" w:eastAsia="仿宋_GB2312"/>
                <w:color w:val="auto"/>
                <w:spacing w:val="0"/>
                <w:kern w:val="0"/>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0821#</w:t>
            </w:r>
          </w:p>
        </w:tc>
        <w:tc>
          <w:tcPr>
            <w:tcW w:w="1546"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1784</w:t>
            </w:r>
          </w:p>
        </w:tc>
        <w:tc>
          <w:tcPr>
            <w:tcW w:w="1578"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90</w:t>
            </w:r>
          </w:p>
        </w:tc>
        <w:tc>
          <w:tcPr>
            <w:tcW w:w="4179" w:type="dxa"/>
            <w:vAlign w:val="center"/>
          </w:tcPr>
          <w:p>
            <w:pPr>
              <w:widowControl w:val="0"/>
              <w:spacing w:line="240" w:lineRule="exact"/>
              <w:jc w:val="center"/>
              <w:rPr>
                <w:rFonts w:ascii="仿宋_GB2312" w:hAnsi="仿宋_GB2312" w:eastAsia="仿宋_GB2312" w:cs="Times New Roman"/>
                <w:sz w:val="21"/>
                <w:szCs w:val="21"/>
              </w:rPr>
            </w:pPr>
            <w:r>
              <w:rPr>
                <w:rFonts w:ascii="仿宋_GB2312" w:hAnsi="仿宋_GB2312" w:eastAsia="仿宋_GB2312" w:cs="Times New Roman"/>
                <w:sz w:val="21"/>
                <w:szCs w:val="21"/>
              </w:rPr>
              <w:t>2015年10月1日～2016年9月30日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8868#</w:t>
            </w:r>
          </w:p>
        </w:tc>
        <w:tc>
          <w:tcPr>
            <w:tcW w:w="1546"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1775</w:t>
            </w:r>
          </w:p>
        </w:tc>
        <w:tc>
          <w:tcPr>
            <w:tcW w:w="1578"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90</w:t>
            </w:r>
          </w:p>
        </w:tc>
        <w:tc>
          <w:tcPr>
            <w:tcW w:w="4179" w:type="dxa"/>
            <w:vAlign w:val="center"/>
          </w:tcPr>
          <w:p>
            <w:pPr>
              <w:widowControl w:val="0"/>
              <w:spacing w:line="240" w:lineRule="exact"/>
              <w:jc w:val="center"/>
              <w:rPr>
                <w:rFonts w:ascii="仿宋_GB2312" w:hAnsi="仿宋_GB2312" w:eastAsia="仿宋_GB2312" w:cs="Times New Roman"/>
                <w:sz w:val="21"/>
                <w:szCs w:val="21"/>
              </w:rPr>
            </w:pPr>
            <w:r>
              <w:rPr>
                <w:rFonts w:ascii="仿宋_GB2312" w:hAnsi="仿宋_GB2312" w:eastAsia="仿宋_GB2312" w:cs="Times New Roman"/>
                <w:sz w:val="21"/>
                <w:szCs w:val="21"/>
              </w:rPr>
              <w:t>2015年10月1日～2016年9月30日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0824#</w:t>
            </w:r>
          </w:p>
        </w:tc>
        <w:tc>
          <w:tcPr>
            <w:tcW w:w="1546"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1765</w:t>
            </w:r>
          </w:p>
        </w:tc>
        <w:tc>
          <w:tcPr>
            <w:tcW w:w="1578"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90</w:t>
            </w:r>
          </w:p>
        </w:tc>
        <w:tc>
          <w:tcPr>
            <w:tcW w:w="4179" w:type="dxa"/>
            <w:vAlign w:val="center"/>
          </w:tcPr>
          <w:p>
            <w:pPr>
              <w:widowControl w:val="0"/>
              <w:spacing w:line="240" w:lineRule="exact"/>
              <w:jc w:val="center"/>
              <w:rPr>
                <w:rFonts w:ascii="仿宋_GB2312" w:hAnsi="仿宋_GB2312" w:eastAsia="仿宋_GB2312" w:cs="Times New Roman"/>
                <w:sz w:val="21"/>
                <w:szCs w:val="21"/>
              </w:rPr>
            </w:pPr>
            <w:r>
              <w:rPr>
                <w:rFonts w:ascii="仿宋_GB2312" w:hAnsi="仿宋_GB2312" w:eastAsia="仿宋_GB2312" w:cs="Times New Roman"/>
                <w:sz w:val="21"/>
                <w:szCs w:val="21"/>
              </w:rPr>
              <w:t>2015年10月1日～2016年9月30日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0822#</w:t>
            </w:r>
          </w:p>
        </w:tc>
        <w:tc>
          <w:tcPr>
            <w:tcW w:w="1546"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1750</w:t>
            </w:r>
          </w:p>
        </w:tc>
        <w:tc>
          <w:tcPr>
            <w:tcW w:w="1578"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90</w:t>
            </w:r>
          </w:p>
        </w:tc>
        <w:tc>
          <w:tcPr>
            <w:tcW w:w="4179" w:type="dxa"/>
            <w:vAlign w:val="center"/>
          </w:tcPr>
          <w:p>
            <w:pPr>
              <w:widowControl w:val="0"/>
              <w:spacing w:line="240" w:lineRule="exact"/>
              <w:jc w:val="center"/>
              <w:rPr>
                <w:rFonts w:ascii="仿宋_GB2312" w:hAnsi="仿宋_GB2312" w:eastAsia="仿宋_GB2312" w:cs="Times New Roman"/>
                <w:sz w:val="21"/>
                <w:szCs w:val="21"/>
              </w:rPr>
            </w:pPr>
            <w:r>
              <w:rPr>
                <w:rFonts w:ascii="仿宋_GB2312" w:hAnsi="仿宋_GB2312" w:eastAsia="仿宋_GB2312" w:cs="Times New Roman"/>
                <w:sz w:val="21"/>
                <w:szCs w:val="21"/>
              </w:rPr>
              <w:t>2015年10月1日～2016年9月30日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1219"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0823#</w:t>
            </w:r>
          </w:p>
        </w:tc>
        <w:tc>
          <w:tcPr>
            <w:tcW w:w="1546"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1769</w:t>
            </w:r>
          </w:p>
        </w:tc>
        <w:tc>
          <w:tcPr>
            <w:tcW w:w="1578" w:type="dxa"/>
            <w:vAlign w:val="center"/>
          </w:tcPr>
          <w:p>
            <w:pPr>
              <w:pStyle w:val="20"/>
              <w:widowControl w:val="0"/>
              <w:spacing w:line="240" w:lineRule="exact"/>
              <w:ind w:firstLine="0" w:firstLineChars="0"/>
              <w:rPr>
                <w:rFonts w:ascii="Calibri" w:hAnsi="Calibri" w:eastAsia="仿宋_GB2312"/>
                <w:color w:val="auto"/>
                <w:spacing w:val="0"/>
                <w:kern w:val="0"/>
                <w:sz w:val="21"/>
                <w:szCs w:val="21"/>
              </w:rPr>
            </w:pPr>
            <w:r>
              <w:rPr>
                <w:rFonts w:ascii="仿宋_GB2312" w:hAnsi="仿宋_GB2312" w:eastAsia="仿宋_GB2312"/>
                <w:color w:val="auto"/>
                <w:spacing w:val="0"/>
                <w:kern w:val="0"/>
                <w:sz w:val="21"/>
                <w:szCs w:val="21"/>
              </w:rPr>
              <w:t>90</w:t>
            </w:r>
          </w:p>
        </w:tc>
        <w:tc>
          <w:tcPr>
            <w:tcW w:w="4179" w:type="dxa"/>
            <w:vAlign w:val="center"/>
          </w:tcPr>
          <w:p>
            <w:pPr>
              <w:widowControl w:val="0"/>
              <w:spacing w:line="240" w:lineRule="exact"/>
              <w:jc w:val="center"/>
              <w:rPr>
                <w:rFonts w:ascii="仿宋_GB2312" w:hAnsi="仿宋_GB2312" w:eastAsia="仿宋_GB2312" w:cs="Times New Roman"/>
                <w:sz w:val="21"/>
                <w:szCs w:val="21"/>
              </w:rPr>
            </w:pPr>
            <w:r>
              <w:rPr>
                <w:rFonts w:ascii="仿宋_GB2312" w:hAnsi="仿宋_GB2312" w:eastAsia="仿宋_GB2312" w:cs="Times New Roman"/>
                <w:sz w:val="21"/>
                <w:szCs w:val="21"/>
              </w:rPr>
              <w:t>2015年10月1日～2016年9月30日</w:t>
            </w:r>
          </w:p>
        </w:tc>
      </w:tr>
    </w:tbl>
    <w:p>
      <w:pPr>
        <w:pStyle w:val="21"/>
        <w:snapToGrid w:val="0"/>
        <w:spacing w:line="560" w:lineRule="exact"/>
        <w:ind w:firstLine="640" w:firstLineChars="200"/>
        <w:jc w:val="both"/>
        <w:rPr>
          <w:rFonts w:ascii="仿宋_GB2312" w:eastAsia="仿宋_GB2312"/>
          <w:sz w:val="32"/>
          <w:szCs w:val="32"/>
        </w:rPr>
      </w:pPr>
      <w:r>
        <w:rPr>
          <w:rFonts w:hint="eastAsia" w:ascii="仿宋_GB2312" w:eastAsia="仿宋_GB2312"/>
          <w:sz w:val="32"/>
          <w:szCs w:val="32"/>
        </w:rPr>
        <w:t>2. 根据设计单位统计结果，6座测风塔各层的原始数据完整率和有效数据完整率满足规范要求。</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（三）</w:t>
      </w:r>
      <w:r>
        <w:rPr>
          <w:rFonts w:ascii="仿宋_GB2312" w:hAnsi="仿宋_GB2312" w:eastAsia="仿宋_GB2312"/>
          <w:sz w:val="32"/>
          <w:szCs w:val="32"/>
        </w:rPr>
        <w:t>空气密度</w:t>
      </w:r>
    </w:p>
    <w:p>
      <w:pPr>
        <w:adjustRightInd w:val="0"/>
        <w:snapToGrid w:val="0"/>
        <w:spacing w:line="560" w:lineRule="exact"/>
        <w:ind w:firstLine="640" w:firstLineChars="200"/>
        <w:rPr>
          <w:rFonts w:ascii="仿宋_GB2312" w:hAnsi="仿宋_GB2312" w:eastAsia="仿宋_GB2312"/>
          <w:sz w:val="32"/>
          <w:szCs w:val="32"/>
        </w:rPr>
      </w:pPr>
      <w:r>
        <w:rPr>
          <w:rFonts w:hint="eastAsia" w:ascii="仿宋_GB2312" w:hAnsi="仿宋_GB2312" w:eastAsia="仿宋_GB2312"/>
          <w:sz w:val="32"/>
          <w:szCs w:val="32"/>
        </w:rPr>
        <w:t>设计单位根据</w:t>
      </w:r>
      <w:r>
        <w:rPr>
          <w:rFonts w:hint="eastAsia" w:ascii="仿宋_GB2312" w:eastAsia="仿宋_GB2312"/>
          <w:sz w:val="32"/>
          <w:szCs w:val="32"/>
        </w:rPr>
        <w:t>6座测风塔</w:t>
      </w:r>
      <w:r>
        <w:rPr>
          <w:rFonts w:hint="eastAsia" w:ascii="仿宋_GB2312" w:hAnsi="仿宋_GB2312" w:eastAsia="仿宋_GB2312"/>
          <w:sz w:val="32"/>
          <w:szCs w:val="32"/>
        </w:rPr>
        <w:t>实测气温、气压数据推算，场址区110</w:t>
      </w:r>
      <w:r>
        <w:rPr>
          <w:rFonts w:ascii="仿宋_GB2312" w:hAnsi="仿宋_GB2312" w:eastAsia="仿宋_GB2312"/>
          <w:sz w:val="32"/>
          <w:szCs w:val="32"/>
        </w:rPr>
        <w:t>m高度处的空气密度</w:t>
      </w:r>
      <w:r>
        <w:rPr>
          <w:rFonts w:hint="eastAsia" w:ascii="仿宋_GB2312" w:hAnsi="仿宋_GB2312" w:eastAsia="仿宋_GB2312"/>
          <w:sz w:val="32"/>
          <w:szCs w:val="32"/>
          <w:lang w:val="en-US" w:eastAsia="zh-CN"/>
        </w:rPr>
        <w:t>为</w:t>
      </w:r>
      <w:r>
        <w:rPr>
          <w:rFonts w:hint="eastAsia" w:ascii="仿宋_GB2312" w:hAnsi="仿宋_GB2312" w:eastAsia="仿宋_GB2312"/>
          <w:sz w:val="32"/>
          <w:szCs w:val="32"/>
        </w:rPr>
        <w:t>1.01</w:t>
      </w:r>
      <w:r>
        <w:rPr>
          <w:rFonts w:ascii="仿宋_GB2312" w:hAnsi="仿宋_GB2312" w:eastAsia="仿宋_GB2312"/>
          <w:sz w:val="32"/>
          <w:szCs w:val="32"/>
        </w:rPr>
        <w:t>kg/m</w:t>
      </w:r>
      <w:r>
        <w:rPr>
          <w:rFonts w:ascii="仿宋_GB2312" w:hAnsi="仿宋_GB2312" w:eastAsia="仿宋_GB2312"/>
          <w:sz w:val="32"/>
          <w:szCs w:val="32"/>
          <w:vertAlign w:val="superscript"/>
        </w:rPr>
        <w:t>3</w:t>
      </w:r>
      <w:r>
        <w:rPr>
          <w:rFonts w:hint="eastAsia" w:ascii="仿宋_GB2312" w:hAnsi="仿宋_GB2312" w:eastAsia="仿宋_GB2312"/>
          <w:sz w:val="32"/>
          <w:szCs w:val="32"/>
        </w:rPr>
        <w:t>。</w:t>
      </w:r>
    </w:p>
    <w:p>
      <w:pPr>
        <w:snapToGrid w:val="0"/>
        <w:spacing w:line="560" w:lineRule="exact"/>
        <w:ind w:firstLine="640"/>
        <w:rPr>
          <w:rFonts w:ascii="仿宋_GB2312" w:hAnsi="仿宋_GB2312" w:eastAsia="仿宋_GB2312"/>
          <w:sz w:val="32"/>
          <w:szCs w:val="32"/>
        </w:rPr>
      </w:pPr>
      <w:r>
        <w:rPr>
          <w:rFonts w:hint="eastAsia" w:ascii="仿宋_GB2312" w:hAnsi="仿宋_GB2312" w:eastAsia="仿宋_GB2312"/>
          <w:sz w:val="32"/>
          <w:szCs w:val="32"/>
        </w:rPr>
        <w:t>（四）</w:t>
      </w:r>
      <w:r>
        <w:rPr>
          <w:rFonts w:ascii="仿宋_GB2312" w:hAnsi="仿宋_GB2312" w:eastAsia="仿宋_GB2312"/>
          <w:sz w:val="32"/>
          <w:szCs w:val="32"/>
        </w:rPr>
        <w:t>IEC等级判定</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color w:val="auto"/>
          <w:sz w:val="32"/>
          <w:szCs w:val="32"/>
        </w:rPr>
        <w:t>1. 湍流强度</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color w:val="auto"/>
          <w:sz w:val="32"/>
          <w:szCs w:val="32"/>
        </w:rPr>
        <w:t>（</w:t>
      </w:r>
      <w:r>
        <w:rPr>
          <w:rFonts w:ascii="仿宋_GB2312" w:hAnsi="仿宋_GB2312" w:eastAsia="仿宋_GB2312"/>
          <w:color w:val="auto"/>
          <w:sz w:val="32"/>
          <w:szCs w:val="32"/>
        </w:rPr>
        <w:t>1）同意设计单位</w:t>
      </w:r>
      <w:r>
        <w:rPr>
          <w:rFonts w:hint="eastAsia" w:ascii="仿宋_GB2312" w:hAnsi="仿宋_GB2312" w:eastAsia="仿宋_GB2312"/>
          <w:color w:val="auto"/>
          <w:sz w:val="32"/>
          <w:szCs w:val="32"/>
        </w:rPr>
        <w:t>湍流强度计算方法，8899#、0821#、8868#、0824#、0822#、0823#</w:t>
      </w:r>
      <w:r>
        <w:rPr>
          <w:rFonts w:hint="eastAsia" w:ascii="仿宋_GB2312" w:eastAsia="仿宋_GB2312"/>
          <w:sz w:val="32"/>
          <w:szCs w:val="32"/>
        </w:rPr>
        <w:t>6座测风塔</w:t>
      </w:r>
      <w:r>
        <w:rPr>
          <w:rFonts w:hint="eastAsia" w:ascii="仿宋_GB2312" w:hAnsi="仿宋_GB2312" w:eastAsia="仿宋_GB2312"/>
          <w:color w:val="auto"/>
          <w:sz w:val="32"/>
          <w:szCs w:val="32"/>
        </w:rPr>
        <w:t>9</w:t>
      </w:r>
      <w:r>
        <w:rPr>
          <w:rFonts w:ascii="仿宋_GB2312" w:hAnsi="仿宋_GB2312" w:eastAsia="仿宋_GB2312"/>
          <w:color w:val="auto"/>
          <w:sz w:val="32"/>
          <w:szCs w:val="32"/>
        </w:rPr>
        <w:t>0m高度15±0.5m/s风速区间</w:t>
      </w:r>
      <w:r>
        <w:rPr>
          <w:rFonts w:hint="eastAsia" w:ascii="仿宋_GB2312" w:hAnsi="仿宋_GB2312" w:eastAsia="仿宋_GB2312"/>
          <w:color w:val="auto"/>
          <w:sz w:val="32"/>
          <w:szCs w:val="32"/>
        </w:rPr>
        <w:t>平均湍流强度分别为</w:t>
      </w:r>
      <w:r>
        <w:rPr>
          <w:rFonts w:ascii="仿宋_GB2312" w:hAnsi="仿宋_GB2312" w:eastAsia="仿宋_GB2312"/>
          <w:color w:val="auto"/>
          <w:sz w:val="32"/>
          <w:szCs w:val="32"/>
        </w:rPr>
        <w:t>0.</w:t>
      </w:r>
      <w:r>
        <w:rPr>
          <w:rFonts w:hint="eastAsia" w:ascii="仿宋_GB2312" w:hAnsi="仿宋_GB2312" w:eastAsia="仿宋_GB2312"/>
          <w:color w:val="auto"/>
          <w:sz w:val="32"/>
          <w:szCs w:val="32"/>
        </w:rPr>
        <w:t>123、0.114、0.122、0.117、0.15、0.135</w:t>
      </w:r>
      <w:r>
        <w:rPr>
          <w:rFonts w:ascii="仿宋_GB2312" w:hAnsi="仿宋_GB2312" w:eastAsia="仿宋_GB2312"/>
          <w:color w:val="auto"/>
          <w:sz w:val="32"/>
          <w:szCs w:val="32"/>
        </w:rPr>
        <w:t>，代表湍流强度分别为0.1</w:t>
      </w:r>
      <w:r>
        <w:rPr>
          <w:rFonts w:hint="eastAsia" w:ascii="仿宋_GB2312" w:hAnsi="仿宋_GB2312" w:eastAsia="仿宋_GB2312"/>
          <w:color w:val="auto"/>
          <w:sz w:val="32"/>
          <w:szCs w:val="32"/>
        </w:rPr>
        <w:t>7</w:t>
      </w:r>
      <w:r>
        <w:rPr>
          <w:rFonts w:ascii="仿宋_GB2312" w:hAnsi="仿宋_GB2312" w:eastAsia="仿宋_GB2312"/>
          <w:color w:val="auto"/>
          <w:sz w:val="32"/>
          <w:szCs w:val="32"/>
        </w:rPr>
        <w:t>、0.</w:t>
      </w:r>
      <w:r>
        <w:rPr>
          <w:rFonts w:hint="eastAsia" w:ascii="仿宋_GB2312" w:hAnsi="仿宋_GB2312" w:eastAsia="仿宋_GB2312"/>
          <w:color w:val="auto"/>
          <w:sz w:val="32"/>
          <w:szCs w:val="32"/>
        </w:rPr>
        <w:t>154、0.181、0.18、0.194、0.177</w:t>
      </w:r>
      <w:r>
        <w:rPr>
          <w:rFonts w:hint="eastAsia" w:ascii="仿宋_GB2312" w:hAnsi="仿宋_GB2312" w:eastAsia="仿宋_GB2312"/>
          <w:sz w:val="32"/>
          <w:szCs w:val="32"/>
        </w:rPr>
        <w:t>，湍流强度呈现随高度升高而降低的趋势</w:t>
      </w:r>
      <w:r>
        <w:rPr>
          <w:rFonts w:hint="eastAsia" w:ascii="仿宋_GB2312" w:hAnsi="仿宋_GB2312" w:eastAsia="仿宋_GB2312"/>
          <w:color w:val="auto"/>
          <w:sz w:val="32"/>
          <w:szCs w:val="32"/>
        </w:rPr>
        <w:t>。</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color w:val="auto"/>
          <w:sz w:val="32"/>
          <w:szCs w:val="32"/>
        </w:rPr>
        <w:t>（2）根据</w:t>
      </w:r>
      <w:r>
        <w:rPr>
          <w:rFonts w:ascii="仿宋_GB2312" w:hAnsi="仿宋_GB2312" w:eastAsia="仿宋_GB2312"/>
          <w:color w:val="auto"/>
          <w:sz w:val="32"/>
          <w:szCs w:val="32"/>
        </w:rPr>
        <w:t>IEC等级判定，</w:t>
      </w:r>
      <w:r>
        <w:rPr>
          <w:rFonts w:hint="eastAsia" w:ascii="仿宋_GB2312" w:hAnsi="仿宋_GB2312" w:eastAsia="仿宋_GB2312"/>
          <w:color w:val="auto"/>
          <w:sz w:val="32"/>
          <w:szCs w:val="32"/>
        </w:rPr>
        <w:t>8899#、0823#测风塔周边场址区90m高度处湍流</w:t>
      </w:r>
      <w:r>
        <w:rPr>
          <w:rFonts w:ascii="仿宋_GB2312" w:hAnsi="仿宋_GB2312" w:eastAsia="仿宋_GB2312"/>
          <w:color w:val="auto"/>
          <w:sz w:val="32"/>
          <w:szCs w:val="32"/>
        </w:rPr>
        <w:t>强度</w:t>
      </w:r>
      <w:r>
        <w:rPr>
          <w:rFonts w:hint="eastAsia" w:ascii="仿宋_GB2312" w:hAnsi="仿宋_GB2312" w:eastAsia="仿宋_GB2312"/>
          <w:color w:val="auto"/>
          <w:sz w:val="32"/>
          <w:szCs w:val="32"/>
        </w:rPr>
        <w:t>为</w:t>
      </w:r>
      <w:r>
        <w:rPr>
          <w:rFonts w:ascii="仿宋_GB2312" w:hAnsi="仿宋_GB2312" w:eastAsia="仿宋_GB2312"/>
          <w:color w:val="auto"/>
          <w:sz w:val="32"/>
          <w:szCs w:val="32"/>
        </w:rPr>
        <w:t xml:space="preserve">IEC </w:t>
      </w:r>
      <w:r>
        <w:rPr>
          <w:rFonts w:hint="eastAsia" w:ascii="仿宋_GB2312" w:hAnsi="仿宋_GB2312" w:eastAsia="仿宋_GB2312"/>
          <w:color w:val="auto"/>
          <w:sz w:val="32"/>
          <w:szCs w:val="32"/>
        </w:rPr>
        <w:t>A</w:t>
      </w:r>
      <w:r>
        <w:rPr>
          <w:rFonts w:ascii="仿宋_GB2312" w:hAnsi="仿宋_GB2312" w:eastAsia="仿宋_GB2312"/>
          <w:color w:val="auto"/>
          <w:sz w:val="32"/>
          <w:szCs w:val="32"/>
        </w:rPr>
        <w:t>类</w:t>
      </w:r>
      <w:r>
        <w:rPr>
          <w:rFonts w:hint="eastAsia" w:ascii="仿宋_GB2312" w:hAnsi="仿宋_GB2312" w:eastAsia="仿宋_GB2312"/>
          <w:color w:val="auto"/>
          <w:sz w:val="32"/>
          <w:szCs w:val="32"/>
        </w:rPr>
        <w:t>，0821#测风塔周边场址区90m高度处湍流</w:t>
      </w:r>
      <w:r>
        <w:rPr>
          <w:rFonts w:ascii="仿宋_GB2312" w:hAnsi="仿宋_GB2312" w:eastAsia="仿宋_GB2312"/>
          <w:color w:val="auto"/>
          <w:sz w:val="32"/>
          <w:szCs w:val="32"/>
        </w:rPr>
        <w:t>强度</w:t>
      </w:r>
      <w:r>
        <w:rPr>
          <w:rFonts w:hint="eastAsia" w:ascii="仿宋_GB2312" w:hAnsi="仿宋_GB2312" w:eastAsia="仿宋_GB2312"/>
          <w:color w:val="auto"/>
          <w:sz w:val="32"/>
          <w:szCs w:val="32"/>
        </w:rPr>
        <w:t>为</w:t>
      </w:r>
      <w:r>
        <w:rPr>
          <w:rFonts w:ascii="仿宋_GB2312" w:hAnsi="仿宋_GB2312" w:eastAsia="仿宋_GB2312"/>
          <w:color w:val="auto"/>
          <w:sz w:val="32"/>
          <w:szCs w:val="32"/>
        </w:rPr>
        <w:t xml:space="preserve">IEC </w:t>
      </w:r>
      <w:r>
        <w:rPr>
          <w:rFonts w:hint="eastAsia" w:ascii="仿宋_GB2312" w:hAnsi="仿宋_GB2312" w:eastAsia="仿宋_GB2312"/>
          <w:color w:val="auto"/>
          <w:sz w:val="32"/>
          <w:szCs w:val="32"/>
        </w:rPr>
        <w:t>B</w:t>
      </w:r>
      <w:r>
        <w:rPr>
          <w:rFonts w:ascii="仿宋_GB2312" w:hAnsi="仿宋_GB2312" w:eastAsia="仿宋_GB2312"/>
          <w:color w:val="auto"/>
          <w:sz w:val="32"/>
          <w:szCs w:val="32"/>
        </w:rPr>
        <w:t>类</w:t>
      </w:r>
      <w:r>
        <w:rPr>
          <w:rFonts w:hint="eastAsia" w:ascii="仿宋_GB2312" w:hAnsi="仿宋_GB2312" w:eastAsia="仿宋_GB2312"/>
          <w:color w:val="auto"/>
          <w:sz w:val="32"/>
          <w:szCs w:val="32"/>
        </w:rPr>
        <w:t>、8868#、0824#测风塔周边场址区90m高度处湍流</w:t>
      </w:r>
      <w:r>
        <w:rPr>
          <w:rFonts w:ascii="仿宋_GB2312" w:hAnsi="仿宋_GB2312" w:eastAsia="仿宋_GB2312"/>
          <w:color w:val="auto"/>
          <w:sz w:val="32"/>
          <w:szCs w:val="32"/>
        </w:rPr>
        <w:t>强度</w:t>
      </w:r>
      <w:r>
        <w:rPr>
          <w:rFonts w:hint="eastAsia" w:ascii="仿宋_GB2312" w:hAnsi="仿宋_GB2312" w:eastAsia="仿宋_GB2312"/>
          <w:color w:val="auto"/>
          <w:sz w:val="32"/>
          <w:szCs w:val="32"/>
        </w:rPr>
        <w:t>为</w:t>
      </w:r>
      <w:r>
        <w:rPr>
          <w:rFonts w:ascii="仿宋_GB2312" w:hAnsi="仿宋_GB2312" w:eastAsia="仿宋_GB2312"/>
          <w:color w:val="auto"/>
          <w:sz w:val="32"/>
          <w:szCs w:val="32"/>
        </w:rPr>
        <w:t xml:space="preserve">IEC </w:t>
      </w:r>
      <w:r>
        <w:rPr>
          <w:rFonts w:hint="eastAsia" w:ascii="仿宋_GB2312" w:hAnsi="仿宋_GB2312" w:eastAsia="仿宋_GB2312"/>
          <w:color w:val="auto"/>
          <w:sz w:val="32"/>
          <w:szCs w:val="32"/>
        </w:rPr>
        <w:t>A+</w:t>
      </w:r>
      <w:r>
        <w:rPr>
          <w:rFonts w:ascii="仿宋_GB2312" w:hAnsi="仿宋_GB2312" w:eastAsia="仿宋_GB2312"/>
          <w:color w:val="auto"/>
          <w:sz w:val="32"/>
          <w:szCs w:val="32"/>
        </w:rPr>
        <w:t>类</w:t>
      </w:r>
      <w:r>
        <w:rPr>
          <w:rFonts w:hint="eastAsia" w:ascii="仿宋_GB2312" w:hAnsi="仿宋_GB2312" w:eastAsia="仿宋_GB2312"/>
          <w:color w:val="auto"/>
          <w:sz w:val="32"/>
          <w:szCs w:val="32"/>
        </w:rPr>
        <w:t>。</w:t>
      </w:r>
      <w:r>
        <w:rPr>
          <w:rFonts w:ascii="仿宋_GB2312" w:hAnsi="仿宋_GB2312" w:eastAsia="仿宋_GB2312"/>
          <w:bCs/>
          <w:sz w:val="32"/>
          <w:szCs w:val="32"/>
        </w:rPr>
        <w:t>本工程湍流强度包含</w:t>
      </w:r>
      <w:r>
        <w:rPr>
          <w:rFonts w:hint="eastAsia" w:ascii="仿宋_GB2312" w:hAnsi="仿宋_GB2312" w:eastAsia="仿宋_GB2312"/>
          <w:bCs/>
          <w:sz w:val="32"/>
          <w:szCs w:val="32"/>
        </w:rPr>
        <w:t>A</w:t>
      </w:r>
      <w:r>
        <w:rPr>
          <w:rFonts w:hint="eastAsia" w:ascii="仿宋_GB2312" w:hAnsi="仿宋_GB2312" w:eastAsia="仿宋_GB2312"/>
          <w:bCs/>
          <w:sz w:val="32"/>
          <w:szCs w:val="32"/>
        </w:rPr>
        <w:t>+</w:t>
      </w:r>
      <w:r>
        <w:rPr>
          <w:rFonts w:hint="eastAsia" w:ascii="仿宋_GB2312" w:hAnsi="仿宋_GB2312" w:eastAsia="仿宋_GB2312"/>
          <w:bCs/>
          <w:sz w:val="32"/>
          <w:szCs w:val="32"/>
        </w:rPr>
        <w:t>、</w:t>
      </w:r>
      <w:r>
        <w:rPr>
          <w:rFonts w:ascii="仿宋_GB2312" w:hAnsi="仿宋_GB2312" w:eastAsia="仿宋_GB2312"/>
          <w:bCs/>
          <w:sz w:val="32"/>
          <w:szCs w:val="32"/>
        </w:rPr>
        <w:t>A、B类安全等级。</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color w:val="auto"/>
          <w:sz w:val="32"/>
          <w:szCs w:val="32"/>
        </w:rPr>
        <w:t>（3）本工程风电场湍流强度较大，请项目公司关注湍流强度对风机运行可能产生的安全性风险。</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2. 50年一遇最大风速</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sz w:val="32"/>
          <w:szCs w:val="32"/>
        </w:rPr>
        <w:t>本阶段设计单位采用极端风速模型法计算50年一遇最大风速，根据设计单位计算结果，</w:t>
      </w:r>
      <w:r>
        <w:rPr>
          <w:rFonts w:hint="eastAsia" w:ascii="仿宋_GB2312" w:eastAsia="仿宋_GB2312"/>
          <w:sz w:val="32"/>
          <w:szCs w:val="32"/>
        </w:rPr>
        <w:t>本工程场址区</w:t>
      </w:r>
      <w:r>
        <w:rPr>
          <w:rFonts w:hint="eastAsia" w:ascii="仿宋_GB2312" w:hAnsi="仿宋_GB2312" w:eastAsia="仿宋_GB2312"/>
          <w:sz w:val="32"/>
          <w:szCs w:val="32"/>
        </w:rPr>
        <w:t>轮毂高度处标准空气密度下50</w:t>
      </w:r>
      <w:r>
        <w:rPr>
          <w:rFonts w:hint="eastAsia" w:ascii="仿宋_GB2312" w:hAnsi="仿宋_GB2312" w:eastAsia="仿宋_GB2312"/>
          <w:color w:val="auto"/>
          <w:sz w:val="32"/>
          <w:szCs w:val="32"/>
        </w:rPr>
        <w:t>年一遇最大风速为26.93m/s，属于</w:t>
      </w:r>
      <w:r>
        <w:rPr>
          <w:rFonts w:hint="eastAsia" w:ascii="仿宋_GB2312" w:hAnsi="仿宋_GB2312" w:eastAsia="仿宋_GB2312"/>
          <w:color w:val="auto"/>
          <w:kern w:val="2"/>
          <w:sz w:val="32"/>
          <w:szCs w:val="32"/>
        </w:rPr>
        <w:t xml:space="preserve">IEC </w:t>
      </w:r>
      <w:r>
        <w:rPr>
          <w:rFonts w:hint="eastAsia" w:ascii="仿宋_GB2312" w:hAnsi="仿宋_GB2312" w:eastAsia="仿宋_GB2312"/>
          <w:color w:val="auto"/>
          <w:sz w:val="32"/>
          <w:szCs w:val="32"/>
        </w:rPr>
        <w:t>Ⅲ类风场。</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color w:val="auto"/>
          <w:sz w:val="32"/>
          <w:szCs w:val="32"/>
        </w:rPr>
        <w:t>设计单位采用的50年一遇最大风速计算方法非相关规范中规定方法，判断结论可能存在误差。</w:t>
      </w:r>
    </w:p>
    <w:p>
      <w:pPr>
        <w:pStyle w:val="21"/>
        <w:snapToGrid w:val="0"/>
        <w:spacing w:line="560" w:lineRule="exact"/>
        <w:ind w:firstLine="640" w:firstLineChars="200"/>
        <w:jc w:val="both"/>
        <w:rPr>
          <w:rFonts w:ascii="仿宋_GB2312" w:hAnsi="仿宋_GB2312" w:eastAsia="仿宋_GB2312"/>
          <w:color w:val="auto"/>
          <w:sz w:val="32"/>
          <w:szCs w:val="32"/>
        </w:rPr>
      </w:pPr>
      <w:r>
        <w:rPr>
          <w:rFonts w:hint="eastAsia" w:ascii="仿宋_GB2312" w:hAnsi="仿宋_GB2312" w:eastAsia="仿宋_GB2312"/>
          <w:color w:val="auto"/>
          <w:sz w:val="32"/>
          <w:szCs w:val="32"/>
        </w:rPr>
        <w:t>3.</w:t>
      </w:r>
      <w:r>
        <w:rPr>
          <w:rFonts w:ascii="仿宋_GB2312" w:hAnsi="仿宋_GB2312" w:eastAsia="仿宋_GB2312"/>
          <w:color w:val="auto"/>
          <w:sz w:val="32"/>
          <w:szCs w:val="32"/>
        </w:rPr>
        <w:t xml:space="preserve"> </w:t>
      </w:r>
      <w:r>
        <w:rPr>
          <w:rFonts w:hint="eastAsia" w:ascii="仿宋_GB2312" w:hAnsi="仿宋_GB2312" w:eastAsia="仿宋_GB2312"/>
          <w:color w:val="auto"/>
          <w:sz w:val="32"/>
          <w:szCs w:val="32"/>
        </w:rPr>
        <w:t>风切变</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同意设计单位风切变</w:t>
      </w:r>
      <w:r>
        <w:rPr>
          <w:rFonts w:hint="eastAsia" w:ascii="仿宋_GB2312" w:hAnsi="仿宋_GB2312" w:eastAsia="仿宋_GB2312"/>
          <w:color w:val="auto"/>
          <w:kern w:val="2"/>
          <w:sz w:val="32"/>
          <w:szCs w:val="32"/>
        </w:rPr>
        <w:t>计算</w:t>
      </w:r>
      <w:r>
        <w:rPr>
          <w:rFonts w:ascii="仿宋_GB2312" w:hAnsi="仿宋_GB2312" w:eastAsia="仿宋_GB2312"/>
          <w:sz w:val="32"/>
          <w:szCs w:val="32"/>
        </w:rPr>
        <w:t>方法。</w:t>
      </w:r>
      <w:r>
        <w:rPr>
          <w:rFonts w:hint="eastAsia" w:ascii="仿宋_GB2312" w:hAnsi="仿宋_GB2312" w:eastAsia="仿宋_GB2312"/>
          <w:sz w:val="32"/>
          <w:szCs w:val="32"/>
        </w:rPr>
        <w:t>根据</w:t>
      </w:r>
      <w:r>
        <w:rPr>
          <w:rFonts w:ascii="仿宋_GB2312" w:hAnsi="仿宋_GB2312" w:eastAsia="仿宋_GB2312"/>
          <w:sz w:val="32"/>
          <w:szCs w:val="32"/>
        </w:rPr>
        <w:t>设计单位</w:t>
      </w:r>
      <w:r>
        <w:rPr>
          <w:rFonts w:hint="eastAsia" w:ascii="仿宋_GB2312" w:eastAsia="仿宋_GB2312"/>
          <w:sz w:val="32"/>
          <w:szCs w:val="32"/>
        </w:rPr>
        <w:t>统计计算结果，</w:t>
      </w:r>
      <w:r>
        <w:rPr>
          <w:rFonts w:hint="eastAsia" w:ascii="仿宋_GB2312" w:hAnsi="仿宋_GB2312" w:eastAsia="仿宋_GB2312"/>
          <w:color w:val="auto"/>
          <w:sz w:val="32"/>
          <w:szCs w:val="32"/>
        </w:rPr>
        <w:t>8899#、0821#、8868#、0824#、0822#、0823#</w:t>
      </w:r>
      <w:r>
        <w:rPr>
          <w:rFonts w:hint="eastAsia" w:ascii="仿宋_GB2312" w:eastAsia="仿宋_GB2312"/>
          <w:sz w:val="32"/>
          <w:szCs w:val="32"/>
        </w:rPr>
        <w:t>6座测风塔</w:t>
      </w:r>
      <w:r>
        <w:rPr>
          <w:rFonts w:ascii="仿宋_GB2312" w:hAnsi="仿宋_GB2312" w:eastAsia="仿宋_GB2312"/>
          <w:sz w:val="32"/>
          <w:szCs w:val="32"/>
        </w:rPr>
        <w:t>综合风切变指数</w:t>
      </w:r>
      <w:r>
        <w:rPr>
          <w:rFonts w:hint="eastAsia" w:ascii="仿宋_GB2312" w:hAnsi="仿宋_GB2312" w:eastAsia="仿宋_GB2312"/>
          <w:sz w:val="32"/>
          <w:szCs w:val="32"/>
        </w:rPr>
        <w:t>分别为0.11、0.07、0.09、0.06、0.11、0.09。</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（五）代表年订正及资源</w:t>
      </w:r>
      <w:r>
        <w:rPr>
          <w:rFonts w:hint="eastAsia" w:ascii="仿宋_GB2312" w:hAnsi="仿宋_GB2312" w:eastAsia="仿宋_GB2312"/>
          <w:color w:val="auto"/>
          <w:kern w:val="2"/>
          <w:sz w:val="32"/>
          <w:szCs w:val="32"/>
        </w:rPr>
        <w:t>分析</w:t>
      </w:r>
      <w:r>
        <w:rPr>
          <w:rFonts w:hint="eastAsia" w:ascii="仿宋_GB2312" w:hAnsi="仿宋_GB2312" w:eastAsia="仿宋_GB2312"/>
          <w:sz w:val="32"/>
          <w:szCs w:val="32"/>
        </w:rPr>
        <w:t>结论</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 xml:space="preserve">1. </w:t>
      </w:r>
      <w:r>
        <w:rPr>
          <w:rFonts w:hint="eastAsia" w:ascii="仿宋_GB2312" w:hAnsi="仿宋_GB2312" w:eastAsia="仿宋_GB2312"/>
          <w:sz w:val="32"/>
          <w:szCs w:val="32"/>
        </w:rPr>
        <w:t>设计单位根据中尺度长序数据判定本工程测风年为平风年，同意不对实测数据做代表年订正。</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2.</w:t>
      </w:r>
      <w:r>
        <w:rPr>
          <w:rFonts w:hint="eastAsia" w:ascii="仿宋_GB2312" w:hAnsi="仿宋_GB2312" w:eastAsia="仿宋_GB2312"/>
          <w:sz w:val="32"/>
          <w:szCs w:val="32"/>
        </w:rPr>
        <w:t xml:space="preserve"> </w:t>
      </w:r>
      <w:r>
        <w:rPr>
          <w:rFonts w:hint="eastAsia" w:ascii="仿宋_GB2312" w:hAnsi="仿宋_GB2312" w:eastAsia="仿宋_GB2312"/>
          <w:color w:val="auto"/>
          <w:sz w:val="32"/>
          <w:szCs w:val="32"/>
        </w:rPr>
        <w:t>8899#、0821#、8868#、0824#、0822#、0823#</w:t>
      </w:r>
      <w:r>
        <w:rPr>
          <w:rFonts w:hint="eastAsia" w:ascii="仿宋_GB2312" w:eastAsia="仿宋_GB2312"/>
          <w:sz w:val="32"/>
          <w:szCs w:val="32"/>
        </w:rPr>
        <w:t>6座测风塔</w:t>
      </w:r>
      <w:r>
        <w:rPr>
          <w:rFonts w:hint="eastAsia" w:ascii="仿宋_GB2312" w:hAnsi="仿宋_GB2312" w:eastAsia="仿宋_GB2312"/>
          <w:sz w:val="32"/>
          <w:szCs w:val="32"/>
        </w:rPr>
        <w:t>实测</w:t>
      </w:r>
      <w:r>
        <w:rPr>
          <w:rFonts w:ascii="仿宋_GB2312" w:hAnsi="仿宋_GB2312" w:eastAsia="仿宋_GB2312"/>
          <w:sz w:val="32"/>
          <w:szCs w:val="32"/>
        </w:rPr>
        <w:t>1</w:t>
      </w:r>
      <w:r>
        <w:rPr>
          <w:rFonts w:hint="eastAsia" w:ascii="仿宋_GB2312" w:hAnsi="仿宋_GB2312" w:eastAsia="仿宋_GB2312"/>
          <w:sz w:val="32"/>
          <w:szCs w:val="32"/>
        </w:rPr>
        <w:t>1</w:t>
      </w:r>
      <w:r>
        <w:rPr>
          <w:rFonts w:ascii="仿宋_GB2312" w:hAnsi="仿宋_GB2312" w:eastAsia="仿宋_GB2312"/>
          <w:sz w:val="32"/>
          <w:szCs w:val="32"/>
        </w:rPr>
        <w:t>0m高度</w:t>
      </w:r>
      <w:r>
        <w:rPr>
          <w:rFonts w:hint="eastAsia" w:ascii="仿宋_GB2312" w:hAnsi="仿宋_GB2312" w:eastAsia="仿宋_GB2312"/>
          <w:sz w:val="32"/>
          <w:szCs w:val="32"/>
        </w:rPr>
        <w:t>代表</w:t>
      </w:r>
      <w:r>
        <w:rPr>
          <w:rFonts w:ascii="仿宋_GB2312" w:hAnsi="仿宋_GB2312" w:eastAsia="仿宋_GB2312"/>
          <w:sz w:val="32"/>
          <w:szCs w:val="32"/>
        </w:rPr>
        <w:t>年平均风速范围</w:t>
      </w:r>
      <w:r>
        <w:rPr>
          <w:rFonts w:hint="eastAsia" w:ascii="仿宋_GB2312" w:hAnsi="仿宋_GB2312" w:eastAsia="仿宋_GB2312"/>
          <w:sz w:val="32"/>
          <w:szCs w:val="32"/>
        </w:rPr>
        <w:t>为5.75m/s～6.42m/s，风功率密度范围为</w:t>
      </w:r>
      <w:r>
        <w:rPr>
          <w:rFonts w:hint="eastAsia" w:ascii="仿宋_GB2312" w:hAnsi="仿宋_GB2312" w:eastAsia="仿宋_GB2312"/>
          <w:color w:val="auto"/>
          <w:kern w:val="2"/>
          <w:sz w:val="32"/>
          <w:szCs w:val="32"/>
        </w:rPr>
        <w:t>163W</w:t>
      </w:r>
      <w:r>
        <w:rPr>
          <w:rFonts w:hint="eastAsia" w:ascii="仿宋_GB2312" w:hAnsi="仿宋_GB2312" w:eastAsia="仿宋_GB2312"/>
          <w:sz w:val="32"/>
          <w:szCs w:val="32"/>
        </w:rPr>
        <w:t>/m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rPr>
        <w:t>～232W/m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rPr>
        <w:t>。</w:t>
      </w:r>
    </w:p>
    <w:p>
      <w:pPr>
        <w:pStyle w:val="21"/>
        <w:snapToGrid w:val="0"/>
        <w:spacing w:line="560" w:lineRule="exact"/>
        <w:ind w:firstLine="640" w:firstLineChars="200"/>
        <w:jc w:val="both"/>
      </w:pPr>
      <w:r>
        <w:rPr>
          <w:rFonts w:hint="eastAsia" w:ascii="仿宋_GB2312" w:hAnsi="仿宋_GB2312" w:eastAsia="仿宋_GB2312"/>
          <w:sz w:val="32"/>
          <w:szCs w:val="32"/>
        </w:rPr>
        <w:t>3. 根据《风电场工程风能资源测量与评估技术规范》（</w:t>
      </w:r>
      <w:r>
        <w:rPr>
          <w:rFonts w:ascii="仿宋_GB2312" w:hAnsi="仿宋_GB2312" w:eastAsia="仿宋_GB2312"/>
          <w:sz w:val="32"/>
          <w:szCs w:val="32"/>
        </w:rPr>
        <w:t>NBT31147-2018</w:t>
      </w:r>
      <w:r>
        <w:rPr>
          <w:rFonts w:hint="eastAsia" w:ascii="仿宋_GB2312" w:hAnsi="仿宋_GB2312" w:eastAsia="仿宋_GB2312"/>
          <w:sz w:val="32"/>
          <w:szCs w:val="32"/>
        </w:rPr>
        <w:t>）的评判</w:t>
      </w:r>
      <w:r>
        <w:rPr>
          <w:rFonts w:hint="eastAsia" w:ascii="仿宋_GB2312" w:hAnsi="仿宋_GB2312" w:eastAsia="仿宋_GB2312"/>
          <w:color w:val="auto"/>
          <w:kern w:val="2"/>
          <w:sz w:val="32"/>
          <w:szCs w:val="32"/>
        </w:rPr>
        <w:t>标准</w:t>
      </w:r>
      <w:r>
        <w:rPr>
          <w:rFonts w:hint="eastAsia" w:ascii="仿宋_GB2312" w:hAnsi="仿宋_GB2312" w:eastAsia="仿宋_GB2312"/>
          <w:sz w:val="32"/>
          <w:szCs w:val="32"/>
        </w:rPr>
        <w:t>，本风电场风功率等级为D-2～D-3级。</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五、风电机组选型及发电量计算</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（一）风电机组选型</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本工程已完成风电机组招标工作，拟安装远景能源有限公司生产的7台EN-200/5.0和30台EN-200/5.5风电机组，单机容量分别为</w:t>
      </w:r>
      <w:r>
        <w:rPr>
          <w:rFonts w:ascii="仿宋_GB2312" w:hAnsi="仿宋_GB2312" w:eastAsia="仿宋_GB2312"/>
          <w:sz w:val="32"/>
          <w:szCs w:val="32"/>
        </w:rPr>
        <w:t>5</w:t>
      </w:r>
      <w:r>
        <w:rPr>
          <w:rFonts w:hint="eastAsia" w:ascii="仿宋_GB2312" w:hAnsi="仿宋_GB2312" w:eastAsia="仿宋_GB2312"/>
          <w:sz w:val="32"/>
          <w:szCs w:val="32"/>
        </w:rPr>
        <w:t>000</w:t>
      </w:r>
      <w:r>
        <w:rPr>
          <w:rFonts w:ascii="仿宋_GB2312" w:hAnsi="仿宋_GB2312" w:eastAsia="仿宋_GB2312"/>
          <w:sz w:val="32"/>
          <w:szCs w:val="32"/>
        </w:rPr>
        <w:t>kW</w:t>
      </w:r>
      <w:r>
        <w:rPr>
          <w:rFonts w:hint="eastAsia" w:ascii="仿宋_GB2312" w:hAnsi="仿宋_GB2312" w:eastAsia="仿宋_GB2312"/>
          <w:sz w:val="32"/>
          <w:szCs w:val="32"/>
        </w:rPr>
        <w:t>和5500kW，叶轮直径200m，IEC安全等级IEC ⅡC类，轮毂高度113m，总装机容量200MW。</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根据远景能源有限公司出具的《关于陕西华电靖边韩家沟</w:t>
      </w:r>
      <w:r>
        <w:rPr>
          <w:rFonts w:ascii="仿宋_GB2312" w:hAnsi="仿宋_GB2312" w:eastAsia="仿宋_GB2312"/>
          <w:sz w:val="32"/>
          <w:szCs w:val="32"/>
        </w:rPr>
        <w:t>200MW风电项目</w:t>
      </w:r>
      <w:r>
        <w:rPr>
          <w:rFonts w:hint="eastAsia" w:ascii="仿宋_GB2312" w:hAnsi="仿宋_GB2312" w:eastAsia="仿宋_GB2312"/>
          <w:sz w:val="32"/>
          <w:szCs w:val="32"/>
        </w:rPr>
        <w:t>远景机型适用性的承诺函》本工程中标机型载荷设计满足场区风况。</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（二）风电机组布置</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 xml:space="preserve">1. </w:t>
      </w:r>
      <w:r>
        <w:rPr>
          <w:rFonts w:hint="eastAsia" w:ascii="仿宋_GB2312" w:hAnsi="仿宋_GB2312" w:eastAsia="仿宋_GB2312"/>
          <w:sz w:val="32"/>
          <w:szCs w:val="32"/>
        </w:rPr>
        <w:t>同意本工程现阶段</w:t>
      </w:r>
      <w:r>
        <w:rPr>
          <w:rFonts w:hint="eastAsia" w:ascii="仿宋_GB2312" w:hAnsi="仿宋_GB2312" w:eastAsia="仿宋_GB2312"/>
          <w:color w:val="auto"/>
          <w:kern w:val="2"/>
          <w:sz w:val="32"/>
          <w:szCs w:val="32"/>
        </w:rPr>
        <w:t>设计</w:t>
      </w:r>
      <w:r>
        <w:rPr>
          <w:rFonts w:hint="eastAsia" w:ascii="仿宋_GB2312" w:hAnsi="仿宋_GB2312" w:eastAsia="仿宋_GB2312"/>
          <w:sz w:val="32"/>
          <w:szCs w:val="32"/>
        </w:rPr>
        <w:t>单位对场址区风电机组的布置方案。</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 xml:space="preserve">2. </w:t>
      </w:r>
      <w:r>
        <w:rPr>
          <w:rFonts w:hint="eastAsia" w:ascii="仿宋_GB2312" w:hAnsi="仿宋_GB2312" w:eastAsia="仿宋_GB2312"/>
          <w:sz w:val="32"/>
          <w:szCs w:val="32"/>
        </w:rPr>
        <w:t>本阶段布置方案风电机组平均尾流折减4.28</w:t>
      </w:r>
      <w:r>
        <w:rPr>
          <w:rFonts w:ascii="仿宋_GB2312" w:hAnsi="仿宋_GB2312" w:eastAsia="仿宋_GB2312"/>
          <w:sz w:val="32"/>
          <w:szCs w:val="32"/>
        </w:rPr>
        <w:t>%</w:t>
      </w:r>
      <w:r>
        <w:rPr>
          <w:rFonts w:hint="eastAsia" w:ascii="仿宋_GB2312" w:hAnsi="仿宋_GB2312" w:eastAsia="仿宋_GB2312"/>
          <w:sz w:val="32"/>
          <w:szCs w:val="32"/>
        </w:rPr>
        <w:t>，最大尾流折减9.2</w:t>
      </w:r>
      <w:r>
        <w:rPr>
          <w:rFonts w:ascii="仿宋_GB2312" w:hAnsi="仿宋_GB2312" w:eastAsia="仿宋_GB2312"/>
          <w:sz w:val="32"/>
          <w:szCs w:val="32"/>
        </w:rPr>
        <w:t>%</w:t>
      </w:r>
      <w:r>
        <w:rPr>
          <w:rFonts w:hint="eastAsia" w:ascii="仿宋_GB2312" w:hAnsi="仿宋_GB2312" w:eastAsia="仿宋_GB2312"/>
          <w:sz w:val="32"/>
          <w:szCs w:val="32"/>
        </w:rPr>
        <w:t>。</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（三）发电量计算</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1. 同意</w:t>
      </w:r>
      <w:r>
        <w:rPr>
          <w:rFonts w:hint="eastAsia" w:ascii="仿宋_GB2312" w:hAnsi="仿宋_GB2312" w:eastAsia="仿宋_GB2312"/>
          <w:sz w:val="32"/>
          <w:szCs w:val="32"/>
        </w:rPr>
        <w:t>设计单位</w:t>
      </w:r>
      <w:r>
        <w:rPr>
          <w:rFonts w:hint="eastAsia" w:ascii="仿宋_GB2312" w:hAnsi="仿宋_GB2312" w:eastAsia="仿宋_GB2312"/>
          <w:color w:val="auto"/>
          <w:kern w:val="2"/>
          <w:sz w:val="32"/>
          <w:szCs w:val="32"/>
        </w:rPr>
        <w:t>采用</w:t>
      </w:r>
      <w:r>
        <w:rPr>
          <w:rFonts w:ascii="仿宋_GB2312" w:hAnsi="仿宋_GB2312" w:eastAsia="仿宋_GB2312"/>
          <w:sz w:val="32"/>
          <w:szCs w:val="32"/>
        </w:rPr>
        <w:t>WT软件，按照现场空气密度下的功率曲线，计算本工程理论发电量。</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2. 原则同意</w:t>
      </w:r>
      <w:r>
        <w:rPr>
          <w:rFonts w:hint="eastAsia" w:ascii="仿宋_GB2312" w:hAnsi="仿宋_GB2312" w:eastAsia="仿宋_GB2312"/>
          <w:sz w:val="32"/>
          <w:szCs w:val="32"/>
        </w:rPr>
        <w:t>设计单位</w:t>
      </w:r>
      <w:r>
        <w:rPr>
          <w:rFonts w:ascii="仿宋_GB2312" w:hAnsi="仿宋_GB2312" w:eastAsia="仿宋_GB2312"/>
          <w:sz w:val="32"/>
          <w:szCs w:val="32"/>
        </w:rPr>
        <w:t>按照综合折减</w:t>
      </w:r>
      <w:r>
        <w:rPr>
          <w:rFonts w:hint="eastAsia" w:ascii="仿宋_GB2312" w:hAnsi="仿宋_GB2312" w:eastAsia="仿宋_GB2312"/>
          <w:sz w:val="32"/>
          <w:szCs w:val="32"/>
        </w:rPr>
        <w:t>73.65</w:t>
      </w:r>
      <w:r>
        <w:rPr>
          <w:rFonts w:ascii="仿宋_GB2312" w:hAnsi="仿宋_GB2312" w:eastAsia="仿宋_GB2312"/>
          <w:sz w:val="32"/>
          <w:szCs w:val="32"/>
        </w:rPr>
        <w:t>%</w:t>
      </w:r>
      <w:r>
        <w:rPr>
          <w:rFonts w:hint="eastAsia" w:ascii="仿宋_GB2312" w:hAnsi="仿宋_GB2312" w:eastAsia="仿宋_GB2312"/>
          <w:sz w:val="32"/>
          <w:szCs w:val="32"/>
        </w:rPr>
        <w:t>（不含尾流折减）</w:t>
      </w:r>
      <w:r>
        <w:rPr>
          <w:rFonts w:ascii="仿宋_GB2312" w:hAnsi="仿宋_GB2312" w:eastAsia="仿宋_GB2312"/>
          <w:sz w:val="32"/>
          <w:szCs w:val="32"/>
        </w:rPr>
        <w:t>计算本工程实际发电量。</w:t>
      </w:r>
    </w:p>
    <w:p>
      <w:pPr>
        <w:pStyle w:val="21"/>
        <w:snapToGrid w:val="0"/>
        <w:spacing w:line="560" w:lineRule="exact"/>
        <w:ind w:firstLine="640" w:firstLineChars="200"/>
        <w:jc w:val="both"/>
      </w:pPr>
      <w:r>
        <w:rPr>
          <w:rFonts w:ascii="仿宋_GB2312" w:hAnsi="仿宋_GB2312" w:eastAsia="仿宋_GB2312"/>
          <w:sz w:val="32"/>
          <w:szCs w:val="32"/>
        </w:rPr>
        <w:t>3. 根据设计单位</w:t>
      </w:r>
      <w:r>
        <w:rPr>
          <w:rFonts w:hint="eastAsia" w:ascii="仿宋_GB2312" w:hAnsi="仿宋_GB2312" w:eastAsia="仿宋_GB2312"/>
          <w:color w:val="auto"/>
          <w:kern w:val="2"/>
          <w:sz w:val="32"/>
          <w:szCs w:val="32"/>
        </w:rPr>
        <w:t>计算</w:t>
      </w:r>
      <w:r>
        <w:rPr>
          <w:rFonts w:hint="eastAsia" w:ascii="仿宋_GB2312" w:hAnsi="仿宋_GB2312" w:eastAsia="仿宋_GB2312"/>
          <w:sz w:val="32"/>
          <w:szCs w:val="32"/>
        </w:rPr>
        <w:t>结果</w:t>
      </w:r>
      <w:r>
        <w:rPr>
          <w:rFonts w:ascii="仿宋_GB2312" w:hAnsi="仿宋_GB2312" w:eastAsia="仿宋_GB2312"/>
          <w:sz w:val="32"/>
          <w:szCs w:val="32"/>
        </w:rPr>
        <w:t>，本工程年上网电量</w:t>
      </w:r>
      <w:r>
        <w:rPr>
          <w:rFonts w:hint="eastAsia" w:ascii="仿宋_GB2312" w:hAnsi="仿宋_GB2312" w:eastAsia="仿宋_GB2312"/>
          <w:sz w:val="32"/>
          <w:szCs w:val="32"/>
        </w:rPr>
        <w:t>47521.1</w:t>
      </w:r>
      <w:r>
        <w:rPr>
          <w:rFonts w:ascii="仿宋_GB2312" w:hAnsi="仿宋_GB2312" w:eastAsia="仿宋_GB2312"/>
          <w:sz w:val="32"/>
          <w:szCs w:val="32"/>
        </w:rPr>
        <w:t>万kWh，年</w:t>
      </w:r>
      <w:r>
        <w:rPr>
          <w:rFonts w:hint="eastAsia" w:ascii="仿宋_GB2312" w:hAnsi="仿宋_GB2312" w:eastAsia="仿宋_GB2312"/>
          <w:sz w:val="32"/>
          <w:szCs w:val="32"/>
        </w:rPr>
        <w:t>等效满负荷</w:t>
      </w:r>
      <w:r>
        <w:rPr>
          <w:rFonts w:ascii="仿宋_GB2312" w:hAnsi="仿宋_GB2312" w:eastAsia="仿宋_GB2312"/>
          <w:sz w:val="32"/>
          <w:szCs w:val="32"/>
        </w:rPr>
        <w:t>小时数</w:t>
      </w:r>
      <w:r>
        <w:rPr>
          <w:rFonts w:hint="eastAsia" w:ascii="仿宋_GB2312" w:hAnsi="仿宋_GB2312" w:eastAsia="仿宋_GB2312"/>
          <w:sz w:val="32"/>
          <w:szCs w:val="32"/>
        </w:rPr>
        <w:t>2376</w:t>
      </w:r>
      <w:r>
        <w:rPr>
          <w:rFonts w:ascii="仿宋_GB2312" w:hAnsi="仿宋_GB2312" w:eastAsia="仿宋_GB2312"/>
          <w:sz w:val="32"/>
          <w:szCs w:val="32"/>
        </w:rPr>
        <w:t>h，容量系数</w:t>
      </w:r>
      <w:r>
        <w:rPr>
          <w:rFonts w:hint="eastAsia" w:ascii="仿宋_GB2312" w:hAnsi="仿宋_GB2312" w:eastAsia="仿宋_GB2312"/>
          <w:sz w:val="32"/>
          <w:szCs w:val="32"/>
        </w:rPr>
        <w:t>0.271</w:t>
      </w:r>
      <w:r>
        <w:rPr>
          <w:rFonts w:ascii="仿宋_GB2312" w:hAnsi="仿宋_GB2312" w:eastAsia="仿宋_GB2312"/>
          <w:sz w:val="32"/>
          <w:szCs w:val="32"/>
        </w:rPr>
        <w:t>。</w:t>
      </w:r>
    </w:p>
    <w:p>
      <w:pPr>
        <w:pStyle w:val="21"/>
        <w:snapToGrid w:val="0"/>
        <w:spacing w:line="560" w:lineRule="exact"/>
        <w:ind w:firstLine="640" w:firstLineChars="200"/>
        <w:jc w:val="both"/>
        <w:rPr>
          <w:rFonts w:ascii="黑体" w:hAnsi="黑体" w:eastAsia="黑体" w:cs="黑体"/>
          <w:sz w:val="32"/>
          <w:szCs w:val="32"/>
        </w:rPr>
      </w:pPr>
      <w:r>
        <w:rPr>
          <w:rFonts w:hint="eastAsia" w:ascii="黑体" w:hAnsi="黑体" w:eastAsia="黑体" w:cs="黑体"/>
          <w:sz w:val="32"/>
          <w:szCs w:val="32"/>
        </w:rPr>
        <w:t>六</w:t>
      </w:r>
      <w:r>
        <w:rPr>
          <w:rFonts w:ascii="黑体" w:hAnsi="黑体" w:eastAsia="黑体" w:cs="黑体"/>
          <w:sz w:val="32"/>
          <w:szCs w:val="32"/>
        </w:rPr>
        <w:t>、电气部分</w:t>
      </w:r>
    </w:p>
    <w:p>
      <w:pPr>
        <w:pStyle w:val="21"/>
        <w:snapToGrid w:val="0"/>
        <w:spacing w:line="560" w:lineRule="exact"/>
        <w:ind w:firstLine="640" w:firstLineChars="200"/>
        <w:jc w:val="both"/>
        <w:rPr>
          <w:rFonts w:ascii="仿宋_GB2312" w:eastAsia="仿宋_GB2312"/>
          <w:bCs/>
          <w:sz w:val="32"/>
          <w:szCs w:val="32"/>
        </w:rPr>
      </w:pPr>
      <w:r>
        <w:rPr>
          <w:rFonts w:hint="eastAsia" w:ascii="仿宋_GB2312" w:eastAsia="仿宋_GB2312"/>
          <w:bCs/>
          <w:sz w:val="32"/>
          <w:szCs w:val="32"/>
        </w:rPr>
        <w:t>（一）接入系统</w:t>
      </w:r>
    </w:p>
    <w:p>
      <w:pPr>
        <w:pStyle w:val="21"/>
        <w:snapToGrid w:val="0"/>
        <w:spacing w:line="560" w:lineRule="exact"/>
        <w:ind w:firstLine="640" w:firstLineChars="200"/>
        <w:jc w:val="both"/>
        <w:rPr>
          <w:rFonts w:ascii="仿宋_GB2312" w:hAnsi="仿宋" w:eastAsia="仿宋_GB2312" w:cs="Arial"/>
          <w:color w:val="000000" w:themeColor="text1"/>
          <w:sz w:val="32"/>
          <w:szCs w:val="32"/>
          <w14:textFill>
            <w14:solidFill>
              <w14:schemeClr w14:val="tx1"/>
            </w14:solidFill>
          </w14:textFill>
        </w:rPr>
      </w:pPr>
      <w:r>
        <w:rPr>
          <w:rFonts w:hint="eastAsia" w:ascii="仿宋_GB2312" w:hAnsi="仿宋" w:eastAsia="仿宋_GB2312" w:cs="Arial"/>
          <w:sz w:val="32"/>
          <w:szCs w:val="32"/>
        </w:rPr>
        <w:t>1. 本工程已完成接入</w:t>
      </w:r>
      <w:r>
        <w:rPr>
          <w:rFonts w:hint="eastAsia" w:ascii="仿宋_GB2312" w:hAnsi="仿宋_GB2312" w:eastAsia="仿宋_GB2312"/>
          <w:color w:val="auto"/>
          <w:kern w:val="2"/>
          <w:sz w:val="32"/>
          <w:szCs w:val="32"/>
        </w:rPr>
        <w:t>系统</w:t>
      </w:r>
      <w:r>
        <w:rPr>
          <w:rFonts w:hint="eastAsia" w:ascii="仿宋_GB2312" w:hAnsi="仿宋" w:eastAsia="仿宋_GB2312" w:cs="Arial"/>
          <w:sz w:val="32"/>
          <w:szCs w:val="32"/>
        </w:rPr>
        <w:t>设计报告，尚未取得电网部门关于接入系统方案的批复意见。根据接入系统设计报告，</w:t>
      </w:r>
      <w:r>
        <w:rPr>
          <w:rFonts w:hint="eastAsia" w:ascii="仿宋_GB2312" w:hAnsi="仿宋" w:eastAsia="仿宋_GB2312" w:cs="Arial"/>
          <w:color w:val="000000" w:themeColor="text1"/>
          <w:sz w:val="32"/>
          <w:szCs w:val="32"/>
          <w14:textFill>
            <w14:solidFill>
              <w14:schemeClr w14:val="tx1"/>
            </w14:solidFill>
          </w14:textFill>
        </w:rPr>
        <w:t>本工程新建1座110kV升压站，2</w:t>
      </w:r>
      <w:r>
        <w:rPr>
          <w:rFonts w:ascii="仿宋_GB2312" w:hAnsi="仿宋" w:eastAsia="仿宋_GB2312" w:cs="Arial"/>
          <w:color w:val="000000" w:themeColor="text1"/>
          <w:sz w:val="32"/>
          <w:szCs w:val="32"/>
          <w14:textFill>
            <w14:solidFill>
              <w14:schemeClr w14:val="tx1"/>
            </w14:solidFill>
          </w14:textFill>
        </w:rPr>
        <w:t>00MW</w:t>
      </w:r>
      <w:r>
        <w:rPr>
          <w:rFonts w:hint="eastAsia" w:ascii="仿宋_GB2312" w:hAnsi="仿宋" w:eastAsia="仿宋_GB2312" w:cs="Arial"/>
          <w:color w:val="000000" w:themeColor="text1"/>
          <w:sz w:val="32"/>
          <w:szCs w:val="32"/>
          <w14:textFill>
            <w14:solidFill>
              <w14:schemeClr w14:val="tx1"/>
            </w14:solidFill>
          </w14:textFill>
        </w:rPr>
        <w:t>风电电力以35k</w:t>
      </w:r>
      <w:r>
        <w:rPr>
          <w:rFonts w:ascii="仿宋_GB2312" w:hAnsi="仿宋" w:eastAsia="仿宋_GB2312" w:cs="Arial"/>
          <w:color w:val="000000" w:themeColor="text1"/>
          <w:sz w:val="32"/>
          <w:szCs w:val="32"/>
          <w14:textFill>
            <w14:solidFill>
              <w14:schemeClr w14:val="tx1"/>
            </w14:solidFill>
          </w14:textFill>
        </w:rPr>
        <w:t>V</w:t>
      </w:r>
      <w:r>
        <w:rPr>
          <w:rFonts w:hint="eastAsia" w:ascii="仿宋_GB2312" w:hAnsi="仿宋" w:eastAsia="仿宋_GB2312" w:cs="Arial"/>
          <w:color w:val="000000" w:themeColor="text1"/>
          <w:sz w:val="32"/>
          <w:szCs w:val="32"/>
          <w14:textFill>
            <w14:solidFill>
              <w14:schemeClr w14:val="tx1"/>
            </w14:solidFill>
          </w14:textFill>
        </w:rPr>
        <w:t>集电线路接入升压站的35kV母线侧经主变升压至110kV，以1回110kV送出线路接入曹城</w:t>
      </w:r>
      <w:r>
        <w:rPr>
          <w:rFonts w:ascii="仿宋_GB2312" w:hAnsi="仿宋" w:eastAsia="仿宋_GB2312" w:cs="Arial"/>
          <w:color w:val="000000" w:themeColor="text1"/>
          <w:sz w:val="32"/>
          <w:szCs w:val="32"/>
          <w14:textFill>
            <w14:solidFill>
              <w14:schemeClr w14:val="tx1"/>
            </w14:solidFill>
          </w14:textFill>
        </w:rPr>
        <w:t>330kV汇集站</w:t>
      </w:r>
      <w:r>
        <w:rPr>
          <w:rFonts w:hint="eastAsia" w:ascii="仿宋_GB2312" w:hAnsi="仿宋" w:eastAsia="仿宋_GB2312" w:cs="Arial"/>
          <w:color w:val="000000" w:themeColor="text1"/>
          <w:sz w:val="32"/>
          <w:szCs w:val="32"/>
          <w14:textFill>
            <w14:solidFill>
              <w14:schemeClr w14:val="tx1"/>
            </w14:solidFill>
          </w14:textFill>
        </w:rPr>
        <w:t>1</w:t>
      </w:r>
      <w:r>
        <w:rPr>
          <w:rFonts w:ascii="仿宋_GB2312" w:hAnsi="仿宋" w:eastAsia="仿宋_GB2312" w:cs="Arial"/>
          <w:color w:val="000000" w:themeColor="text1"/>
          <w:sz w:val="32"/>
          <w:szCs w:val="32"/>
          <w14:textFill>
            <w14:solidFill>
              <w14:schemeClr w14:val="tx1"/>
            </w14:solidFill>
          </w14:textFill>
        </w:rPr>
        <w:t>10kV</w:t>
      </w:r>
      <w:r>
        <w:rPr>
          <w:rFonts w:hint="eastAsia" w:ascii="仿宋_GB2312" w:hAnsi="仿宋" w:eastAsia="仿宋_GB2312" w:cs="Arial"/>
          <w:color w:val="000000" w:themeColor="text1"/>
          <w:sz w:val="32"/>
          <w:szCs w:val="32"/>
          <w14:textFill>
            <w14:solidFill>
              <w14:schemeClr w14:val="tx1"/>
            </w14:solidFill>
          </w14:textFill>
        </w:rPr>
        <w:t>侧。新建110kV线路导线暂按2×</w:t>
      </w:r>
      <w:r>
        <w:rPr>
          <w:rFonts w:ascii="仿宋_GB2312" w:hAnsi="仿宋" w:eastAsia="仿宋_GB2312" w:cs="Arial"/>
          <w:color w:val="000000" w:themeColor="text1"/>
          <w:sz w:val="32"/>
          <w:szCs w:val="32"/>
          <w14:textFill>
            <w14:solidFill>
              <w14:schemeClr w14:val="tx1"/>
            </w14:solidFill>
          </w14:textFill>
        </w:rPr>
        <w:t>JL/G1A-300</w:t>
      </w:r>
      <w:r>
        <w:rPr>
          <w:rFonts w:hint="eastAsia" w:ascii="仿宋_GB2312" w:hAnsi="仿宋_GB2312" w:eastAsia="仿宋_GB2312"/>
          <w:color w:val="auto"/>
          <w:kern w:val="2"/>
          <w:sz w:val="32"/>
          <w:szCs w:val="32"/>
        </w:rPr>
        <w:t>考虑</w:t>
      </w:r>
      <w:r>
        <w:rPr>
          <w:rFonts w:hint="eastAsia" w:ascii="仿宋" w:hAnsi="仿宋" w:eastAsia="仿宋" w:cs="仿宋"/>
          <w:color w:val="000000" w:themeColor="text1"/>
          <w:sz w:val="32"/>
          <w:szCs w:val="32"/>
          <w14:textFill>
            <w14:solidFill>
              <w14:schemeClr w14:val="tx1"/>
            </w14:solidFill>
          </w14:textFill>
        </w:rPr>
        <w:t>，</w:t>
      </w:r>
      <w:r>
        <w:rPr>
          <w:rFonts w:hint="eastAsia" w:ascii="仿宋_GB2312" w:hAnsi="仿宋" w:eastAsia="仿宋_GB2312" w:cs="Arial"/>
          <w:color w:val="000000" w:themeColor="text1"/>
          <w:sz w:val="32"/>
          <w:szCs w:val="32"/>
          <w14:textFill>
            <w14:solidFill>
              <w14:schemeClr w14:val="tx1"/>
            </w14:solidFill>
          </w14:textFill>
        </w:rPr>
        <w:t>线路长度约为</w:t>
      </w:r>
      <w:r>
        <w:rPr>
          <w:rFonts w:ascii="仿宋_GB2312" w:hAnsi="仿宋" w:eastAsia="仿宋_GB2312" w:cs="Arial"/>
          <w:color w:val="000000" w:themeColor="text1"/>
          <w:sz w:val="32"/>
          <w:szCs w:val="32"/>
          <w14:textFill>
            <w14:solidFill>
              <w14:schemeClr w14:val="tx1"/>
            </w14:solidFill>
          </w14:textFill>
        </w:rPr>
        <w:t>34.5</w:t>
      </w:r>
      <w:r>
        <w:rPr>
          <w:rFonts w:hint="eastAsia" w:ascii="仿宋_GB2312" w:hAnsi="仿宋" w:eastAsia="仿宋_GB2312" w:cs="Arial"/>
          <w:color w:val="000000" w:themeColor="text1"/>
          <w:sz w:val="32"/>
          <w:szCs w:val="32"/>
          <w14:textFill>
            <w14:solidFill>
              <w14:schemeClr w14:val="tx1"/>
            </w14:solidFill>
          </w14:textFill>
        </w:rPr>
        <w:t>km。</w:t>
      </w:r>
    </w:p>
    <w:p>
      <w:pPr>
        <w:pStyle w:val="21"/>
        <w:snapToGrid w:val="0"/>
        <w:spacing w:line="560" w:lineRule="exact"/>
        <w:ind w:firstLine="640" w:firstLineChars="200"/>
        <w:jc w:val="both"/>
        <w:rPr>
          <w:rFonts w:ascii="仿宋_GB2312" w:hAnsi="仿宋" w:eastAsia="仿宋_GB2312" w:cs="Arial"/>
          <w:color w:val="000000" w:themeColor="text1"/>
          <w:sz w:val="32"/>
          <w:szCs w:val="32"/>
          <w14:textFill>
            <w14:solidFill>
              <w14:schemeClr w14:val="tx1"/>
            </w14:solidFill>
          </w14:textFill>
        </w:rPr>
      </w:pPr>
      <w:r>
        <w:rPr>
          <w:rFonts w:hint="eastAsia" w:ascii="仿宋_GB2312" w:hAnsi="仿宋" w:eastAsia="仿宋_GB2312" w:cs="Arial"/>
          <w:color w:val="000000" w:themeColor="text1"/>
          <w:sz w:val="32"/>
          <w:szCs w:val="32"/>
          <w14:textFill>
            <w14:solidFill>
              <w14:schemeClr w14:val="tx1"/>
            </w14:solidFill>
          </w14:textFill>
        </w:rPr>
        <w:t>（1）本工程送出线路及对侧间隔改造费用暂按项目公司出资建设考虑。</w:t>
      </w:r>
    </w:p>
    <w:p>
      <w:pPr>
        <w:pStyle w:val="21"/>
        <w:snapToGrid w:val="0"/>
        <w:spacing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kern w:val="2"/>
          <w:sz w:val="32"/>
          <w:szCs w:val="32"/>
        </w:rPr>
        <w:t>（</w:t>
      </w:r>
      <w:r>
        <w:rPr>
          <w:rFonts w:ascii="仿宋_GB2312" w:hAnsi="仿宋_GB2312" w:eastAsia="仿宋_GB2312"/>
          <w:color w:val="auto"/>
          <w:kern w:val="2"/>
          <w:sz w:val="32"/>
          <w:szCs w:val="32"/>
        </w:rPr>
        <w:t>2</w:t>
      </w:r>
      <w:r>
        <w:rPr>
          <w:rFonts w:hint="eastAsia" w:ascii="仿宋_GB2312" w:hAnsi="仿宋_GB2312" w:eastAsia="仿宋_GB2312"/>
          <w:color w:val="auto"/>
          <w:kern w:val="2"/>
          <w:sz w:val="32"/>
          <w:szCs w:val="32"/>
        </w:rPr>
        <w:t>）</w:t>
      </w:r>
      <w:r>
        <w:rPr>
          <w:rFonts w:hint="eastAsia" w:ascii="仿宋_GB2312" w:hAnsi="仿宋" w:eastAsia="仿宋_GB2312" w:cs="Arial"/>
          <w:b w:val="0"/>
          <w:bCs w:val="0"/>
          <w:color w:val="000000" w:themeColor="text1"/>
          <w:sz w:val="32"/>
          <w:szCs w:val="32"/>
          <w14:textFill>
            <w14:solidFill>
              <w14:schemeClr w14:val="tx1"/>
            </w14:solidFill>
          </w14:textFill>
        </w:rPr>
        <w:t>请项目公司协调本工程纳入曹城资源规划及投资分摊，</w:t>
      </w:r>
      <w:r>
        <w:rPr>
          <w:rFonts w:hint="eastAsia" w:ascii="仿宋_GB2312" w:hAnsi="仿宋_GB2312" w:eastAsia="仿宋_GB2312"/>
          <w:color w:val="auto"/>
          <w:kern w:val="2"/>
          <w:sz w:val="32"/>
          <w:szCs w:val="32"/>
        </w:rPr>
        <w:t>取得接入系统批复意见，最终接入方案应以接入系统批复意见为准。</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2.</w:t>
      </w:r>
      <w:r>
        <w:rPr>
          <w:rFonts w:hint="eastAsia" w:ascii="仿宋_GB2312" w:hAnsi="仿宋" w:eastAsia="仿宋_GB2312" w:cs="Arial"/>
          <w:sz w:val="32"/>
          <w:szCs w:val="32"/>
        </w:rPr>
        <w:t xml:space="preserve"> 消纳分析</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（1）根据接入系统报告消纳分析，若曹城</w:t>
      </w:r>
      <w:r>
        <w:rPr>
          <w:rFonts w:ascii="仿宋_GB2312" w:hAnsi="仿宋" w:eastAsia="仿宋_GB2312" w:cs="Arial"/>
          <w:sz w:val="32"/>
          <w:szCs w:val="32"/>
        </w:rPr>
        <w:t>330kV变核准的和改接的新能源场站全部如期建成投运，</w:t>
      </w:r>
      <w:r>
        <w:rPr>
          <w:rFonts w:hint="eastAsia" w:ascii="仿宋_GB2312" w:hAnsi="仿宋" w:eastAsia="仿宋_GB2312" w:cs="Arial"/>
          <w:sz w:val="32"/>
          <w:szCs w:val="32"/>
        </w:rPr>
        <w:t>本工程</w:t>
      </w:r>
      <w:r>
        <w:rPr>
          <w:rFonts w:ascii="仿宋_GB2312" w:hAnsi="仿宋" w:eastAsia="仿宋_GB2312" w:cs="Arial"/>
          <w:sz w:val="32"/>
          <w:szCs w:val="32"/>
        </w:rPr>
        <w:t>接入曹城330kV变后，夜间主变负载率将达</w:t>
      </w:r>
      <w:r>
        <w:rPr>
          <w:rFonts w:hint="eastAsia" w:ascii="仿宋_GB2312" w:hAnsi="仿宋" w:eastAsia="仿宋_GB2312" w:cs="Arial"/>
          <w:sz w:val="32"/>
          <w:szCs w:val="32"/>
        </w:rPr>
        <w:t>到</w:t>
      </w:r>
      <w:r>
        <w:rPr>
          <w:rFonts w:ascii="仿宋_GB2312" w:hAnsi="仿宋" w:eastAsia="仿宋_GB2312" w:cs="Arial"/>
          <w:sz w:val="32"/>
          <w:szCs w:val="32"/>
        </w:rPr>
        <w:t>104.2%，午间主变负载率将达到59.1%</w:t>
      </w:r>
      <w:r>
        <w:rPr>
          <w:rFonts w:hint="eastAsia" w:ascii="仿宋_GB2312" w:hAnsi="仿宋" w:eastAsia="仿宋_GB2312" w:cs="Arial"/>
          <w:sz w:val="32"/>
          <w:szCs w:val="32"/>
        </w:rPr>
        <w:t>，</w:t>
      </w:r>
      <w:r>
        <w:rPr>
          <w:rFonts w:ascii="仿宋_GB2312" w:hAnsi="仿宋" w:eastAsia="仿宋_GB2312" w:cs="Arial"/>
          <w:sz w:val="32"/>
          <w:szCs w:val="32"/>
        </w:rPr>
        <w:t>新能源所产生电力都需要上送至陕西主网进行消纳，根据陕北主网的情况，</w:t>
      </w:r>
      <w:r>
        <w:rPr>
          <w:rFonts w:hint="eastAsia" w:ascii="仿宋_GB2312" w:hAnsi="仿宋" w:eastAsia="仿宋_GB2312" w:cs="Arial"/>
          <w:sz w:val="32"/>
          <w:szCs w:val="32"/>
        </w:rPr>
        <w:t>新能源场站投运后存在着一定的弃风弃电现象。</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（2）随着今后陕西新能源装机不断扩大，在保证电网安全可靠运行的条件下，新能源不可避免存在一定的弃电。2</w:t>
      </w:r>
      <w:r>
        <w:rPr>
          <w:rFonts w:ascii="仿宋_GB2312" w:hAnsi="仿宋" w:eastAsia="仿宋_GB2312" w:cs="Arial"/>
          <w:sz w:val="32"/>
          <w:szCs w:val="32"/>
        </w:rPr>
        <w:t>022</w:t>
      </w:r>
      <w:r>
        <w:rPr>
          <w:rFonts w:hint="eastAsia" w:ascii="仿宋_GB2312" w:hAnsi="仿宋_GB2312" w:eastAsia="仿宋_GB2312"/>
          <w:sz w:val="32"/>
          <w:szCs w:val="32"/>
        </w:rPr>
        <w:t>～</w:t>
      </w:r>
      <w:r>
        <w:rPr>
          <w:rFonts w:ascii="仿宋_GB2312" w:hAnsi="仿宋" w:eastAsia="仿宋_GB2312" w:cs="Arial"/>
          <w:sz w:val="32"/>
          <w:szCs w:val="32"/>
        </w:rPr>
        <w:t>2023</w:t>
      </w:r>
      <w:r>
        <w:rPr>
          <w:rFonts w:hint="eastAsia" w:ascii="仿宋_GB2312" w:hAnsi="仿宋" w:eastAsia="仿宋_GB2312" w:cs="Arial"/>
          <w:sz w:val="32"/>
          <w:szCs w:val="32"/>
        </w:rPr>
        <w:t>年，在风电、光伏总装机增长5</w:t>
      </w:r>
      <w:r>
        <w:rPr>
          <w:rFonts w:ascii="仿宋_GB2312" w:hAnsi="仿宋" w:eastAsia="仿宋_GB2312" w:cs="Arial"/>
          <w:sz w:val="32"/>
          <w:szCs w:val="32"/>
        </w:rPr>
        <w:t>00</w:t>
      </w:r>
      <w:r>
        <w:rPr>
          <w:rFonts w:hint="eastAsia" w:ascii="仿宋_GB2312" w:hAnsi="仿宋" w:eastAsia="仿宋_GB2312" w:cs="Arial"/>
          <w:sz w:val="32"/>
          <w:szCs w:val="32"/>
        </w:rPr>
        <w:t>万k</w:t>
      </w:r>
      <w:r>
        <w:rPr>
          <w:rFonts w:ascii="仿宋_GB2312" w:hAnsi="仿宋" w:eastAsia="仿宋_GB2312" w:cs="Arial"/>
          <w:sz w:val="32"/>
          <w:szCs w:val="32"/>
        </w:rPr>
        <w:t>W</w:t>
      </w:r>
      <w:r>
        <w:rPr>
          <w:rFonts w:hint="eastAsia" w:ascii="仿宋_GB2312" w:hAnsi="仿宋" w:eastAsia="仿宋_GB2312" w:cs="Arial"/>
          <w:sz w:val="32"/>
          <w:szCs w:val="32"/>
        </w:rPr>
        <w:t>条件下，陕西电网新能源弃电率1</w:t>
      </w:r>
      <w:r>
        <w:rPr>
          <w:rFonts w:ascii="仿宋_GB2312" w:hAnsi="仿宋" w:eastAsia="仿宋_GB2312" w:cs="Arial"/>
          <w:sz w:val="32"/>
          <w:szCs w:val="32"/>
        </w:rPr>
        <w:t>0</w:t>
      </w:r>
      <w:r>
        <w:rPr>
          <w:rFonts w:hint="eastAsia" w:ascii="仿宋_GB2312" w:hAnsi="仿宋" w:eastAsia="仿宋_GB2312" w:cs="Arial"/>
          <w:sz w:val="32"/>
          <w:szCs w:val="32"/>
        </w:rPr>
        <w:t>.</w:t>
      </w:r>
      <w:r>
        <w:rPr>
          <w:rFonts w:ascii="仿宋_GB2312" w:hAnsi="仿宋" w:eastAsia="仿宋_GB2312" w:cs="Arial"/>
          <w:sz w:val="32"/>
          <w:szCs w:val="32"/>
        </w:rPr>
        <w:t>2</w:t>
      </w:r>
      <w:r>
        <w:rPr>
          <w:rFonts w:hint="eastAsia" w:ascii="仿宋_GB2312" w:hAnsi="仿宋" w:eastAsia="仿宋_GB2312" w:cs="Arial"/>
          <w:sz w:val="32"/>
          <w:szCs w:val="32"/>
        </w:rPr>
        <w:t>%</w:t>
      </w:r>
      <w:r>
        <w:rPr>
          <w:rFonts w:hint="eastAsia" w:ascii="仿宋_GB2312" w:hAnsi="仿宋_GB2312" w:eastAsia="仿宋_GB2312"/>
          <w:sz w:val="32"/>
          <w:szCs w:val="32"/>
        </w:rPr>
        <w:t>～</w:t>
      </w:r>
      <w:r>
        <w:rPr>
          <w:rFonts w:ascii="仿宋_GB2312" w:hAnsi="仿宋" w:eastAsia="仿宋_GB2312" w:cs="Arial"/>
          <w:sz w:val="32"/>
          <w:szCs w:val="32"/>
        </w:rPr>
        <w:t>11.9%</w:t>
      </w:r>
      <w:r>
        <w:rPr>
          <w:rFonts w:hint="eastAsia" w:ascii="仿宋_GB2312" w:hAnsi="仿宋" w:eastAsia="仿宋_GB2312" w:cs="Arial"/>
          <w:sz w:val="32"/>
          <w:szCs w:val="32"/>
        </w:rPr>
        <w:t>，在风电、光伏总装机增长</w:t>
      </w:r>
      <w:r>
        <w:rPr>
          <w:rFonts w:ascii="仿宋_GB2312" w:hAnsi="仿宋" w:eastAsia="仿宋_GB2312" w:cs="Arial"/>
          <w:sz w:val="32"/>
          <w:szCs w:val="32"/>
        </w:rPr>
        <w:t>870</w:t>
      </w:r>
      <w:r>
        <w:rPr>
          <w:rFonts w:hint="eastAsia" w:ascii="仿宋_GB2312" w:hAnsi="仿宋" w:eastAsia="仿宋_GB2312" w:cs="Arial"/>
          <w:sz w:val="32"/>
          <w:szCs w:val="32"/>
        </w:rPr>
        <w:t>万千瓦条件下，陕西电网新能源弃电率1</w:t>
      </w:r>
      <w:r>
        <w:rPr>
          <w:rFonts w:ascii="仿宋_GB2312" w:hAnsi="仿宋" w:eastAsia="仿宋_GB2312" w:cs="Arial"/>
          <w:sz w:val="32"/>
          <w:szCs w:val="32"/>
        </w:rPr>
        <w:t>2</w:t>
      </w:r>
      <w:r>
        <w:rPr>
          <w:rFonts w:hint="eastAsia" w:ascii="仿宋_GB2312" w:hAnsi="仿宋" w:eastAsia="仿宋_GB2312" w:cs="Arial"/>
          <w:sz w:val="32"/>
          <w:szCs w:val="32"/>
        </w:rPr>
        <w:t>%</w:t>
      </w:r>
      <w:r>
        <w:rPr>
          <w:rFonts w:hint="eastAsia" w:ascii="仿宋_GB2312" w:hAnsi="仿宋_GB2312" w:eastAsia="仿宋_GB2312"/>
          <w:sz w:val="32"/>
          <w:szCs w:val="32"/>
        </w:rPr>
        <w:t>～</w:t>
      </w:r>
      <w:r>
        <w:rPr>
          <w:rFonts w:ascii="仿宋_GB2312" w:hAnsi="仿宋" w:eastAsia="仿宋_GB2312" w:cs="Arial"/>
          <w:sz w:val="32"/>
          <w:szCs w:val="32"/>
        </w:rPr>
        <w:t>16.2%</w:t>
      </w:r>
      <w:r>
        <w:rPr>
          <w:rFonts w:hint="eastAsia" w:ascii="仿宋_GB2312" w:hAnsi="仿宋" w:eastAsia="仿宋_GB2312" w:cs="Arial"/>
          <w:sz w:val="32"/>
          <w:szCs w:val="32"/>
        </w:rPr>
        <w:t>。</w:t>
      </w:r>
    </w:p>
    <w:p>
      <w:pPr>
        <w:pStyle w:val="21"/>
        <w:snapToGrid w:val="0"/>
        <w:spacing w:line="560" w:lineRule="exact"/>
        <w:ind w:firstLine="640" w:firstLineChars="200"/>
        <w:jc w:val="both"/>
        <w:rPr>
          <w:rFonts w:ascii="仿宋_GB2312" w:hAnsi="仿宋" w:eastAsia="仿宋_GB2312" w:cs="Arial"/>
          <w:b/>
          <w:bCs/>
          <w:sz w:val="32"/>
          <w:szCs w:val="32"/>
        </w:rPr>
      </w:pPr>
      <w:r>
        <w:rPr>
          <w:rFonts w:hint="eastAsia" w:ascii="仿宋_GB2312" w:hAnsi="仿宋" w:eastAsia="仿宋_GB2312" w:cs="Arial"/>
          <w:b w:val="0"/>
          <w:bCs w:val="0"/>
          <w:sz w:val="32"/>
          <w:szCs w:val="32"/>
        </w:rPr>
        <w:t>请项目公司完成消纳报告的编制，关注本工程潜在的消纳风险，安排好本工程的投产时序，</w:t>
      </w:r>
      <w:r>
        <w:rPr>
          <w:rFonts w:ascii="仿宋_GB2312" w:hAnsi="仿宋" w:eastAsia="仿宋_GB2312" w:cs="Arial"/>
          <w:b w:val="0"/>
          <w:bCs w:val="0"/>
          <w:sz w:val="32"/>
          <w:szCs w:val="32"/>
        </w:rPr>
        <w:t>最终以</w:t>
      </w:r>
      <w:r>
        <w:rPr>
          <w:rFonts w:hint="eastAsia" w:ascii="仿宋_GB2312" w:hAnsi="仿宋" w:eastAsia="仿宋_GB2312" w:cs="Arial"/>
          <w:b w:val="0"/>
          <w:bCs w:val="0"/>
          <w:sz w:val="32"/>
          <w:szCs w:val="32"/>
        </w:rPr>
        <w:t>接入系统</w:t>
      </w:r>
      <w:r>
        <w:rPr>
          <w:rFonts w:hint="eastAsia" w:ascii="仿宋_GB2312" w:hAnsi="仿宋_GB2312" w:eastAsia="仿宋_GB2312"/>
          <w:b w:val="0"/>
          <w:bCs w:val="0"/>
          <w:color w:val="auto"/>
          <w:kern w:val="2"/>
          <w:sz w:val="32"/>
          <w:szCs w:val="32"/>
        </w:rPr>
        <w:t>批复</w:t>
      </w:r>
      <w:r>
        <w:rPr>
          <w:rFonts w:ascii="仿宋_GB2312" w:hAnsi="仿宋" w:eastAsia="仿宋_GB2312" w:cs="Arial"/>
          <w:b w:val="0"/>
          <w:bCs w:val="0"/>
          <w:sz w:val="32"/>
          <w:szCs w:val="32"/>
        </w:rPr>
        <w:t>意见为准</w:t>
      </w:r>
      <w:r>
        <w:rPr>
          <w:rFonts w:hint="eastAsia" w:ascii="仿宋_GB2312" w:hAnsi="仿宋" w:eastAsia="仿宋_GB2312" w:cs="Arial"/>
          <w:b w:val="0"/>
          <w:bCs w:val="0"/>
          <w:sz w:val="32"/>
          <w:szCs w:val="32"/>
        </w:rPr>
        <w:t>。</w:t>
      </w:r>
    </w:p>
    <w:p>
      <w:pPr>
        <w:autoSpaceDE w:val="0"/>
        <w:autoSpaceDN w:val="0"/>
        <w:adjustRightInd w:val="0"/>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（二）升压站电气主接线</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 本工程风电场</w:t>
      </w:r>
      <w:r>
        <w:rPr>
          <w:rFonts w:hint="eastAsia" w:ascii="仿宋_GB2312" w:hAnsi="仿宋_GB2312" w:eastAsia="仿宋_GB2312"/>
          <w:color w:val="auto"/>
          <w:kern w:val="2"/>
          <w:sz w:val="32"/>
          <w:szCs w:val="32"/>
        </w:rPr>
        <w:t>升压</w:t>
      </w:r>
      <w:r>
        <w:rPr>
          <w:rFonts w:hint="eastAsia" w:ascii="仿宋_GB2312" w:hAnsi="仿宋" w:eastAsia="仿宋_GB2312" w:cs="Arial"/>
          <w:sz w:val="32"/>
          <w:szCs w:val="32"/>
        </w:rPr>
        <w:t>站内110kV</w:t>
      </w:r>
      <w:r>
        <w:rPr>
          <w:rFonts w:ascii="仿宋_GB2312" w:hAnsi="仿宋" w:eastAsia="仿宋_GB2312" w:cs="Arial"/>
          <w:sz w:val="32"/>
          <w:szCs w:val="32"/>
        </w:rPr>
        <w:t>采用单母线接线</w:t>
      </w:r>
      <w:r>
        <w:rPr>
          <w:rFonts w:hint="eastAsia" w:ascii="仿宋_GB2312" w:hAnsi="仿宋" w:eastAsia="仿宋_GB2312" w:cs="Arial"/>
          <w:sz w:val="32"/>
          <w:szCs w:val="32"/>
        </w:rPr>
        <w:t>方案</w:t>
      </w:r>
      <w:r>
        <w:rPr>
          <w:rFonts w:ascii="仿宋_GB2312" w:hAnsi="仿宋" w:eastAsia="仿宋_GB2312" w:cs="Arial"/>
          <w:sz w:val="32"/>
          <w:szCs w:val="32"/>
        </w:rPr>
        <w:t>，本期出线1回，远期</w:t>
      </w:r>
      <w:r>
        <w:rPr>
          <w:rFonts w:hint="eastAsia" w:ascii="仿宋_GB2312" w:hAnsi="仿宋" w:eastAsia="仿宋_GB2312" w:cs="Arial"/>
          <w:sz w:val="32"/>
          <w:szCs w:val="32"/>
        </w:rPr>
        <w:t>出线</w:t>
      </w:r>
      <w:r>
        <w:rPr>
          <w:rFonts w:ascii="仿宋_GB2312" w:hAnsi="仿宋" w:eastAsia="仿宋_GB2312" w:cs="Arial"/>
          <w:sz w:val="32"/>
          <w:szCs w:val="32"/>
        </w:rPr>
        <w:t>2回</w:t>
      </w:r>
      <w:r>
        <w:rPr>
          <w:rFonts w:hint="eastAsia" w:ascii="仿宋_GB2312" w:hAnsi="仿宋" w:eastAsia="仿宋_GB2312" w:cs="Arial"/>
          <w:color w:val="auto"/>
          <w:sz w:val="32"/>
          <w:szCs w:val="32"/>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2. 本工程升压站内规划安装</w:t>
      </w:r>
      <w:r>
        <w:rPr>
          <w:rFonts w:ascii="仿宋_GB2312" w:hAnsi="仿宋" w:eastAsia="仿宋_GB2312" w:cs="Arial"/>
          <w:sz w:val="32"/>
          <w:szCs w:val="32"/>
        </w:rPr>
        <w:t>2</w:t>
      </w:r>
      <w:r>
        <w:rPr>
          <w:rFonts w:hint="eastAsia" w:ascii="仿宋_GB2312" w:hAnsi="仿宋" w:eastAsia="仿宋_GB2312" w:cs="Arial"/>
          <w:sz w:val="32"/>
          <w:szCs w:val="32"/>
        </w:rPr>
        <w:t>台</w:t>
      </w:r>
      <w:r>
        <w:rPr>
          <w:rFonts w:ascii="仿宋_GB2312" w:hAnsi="仿宋" w:eastAsia="仿宋_GB2312" w:cs="Arial"/>
          <w:sz w:val="32"/>
          <w:szCs w:val="32"/>
        </w:rPr>
        <w:t>10</w:t>
      </w:r>
      <w:r>
        <w:rPr>
          <w:rFonts w:hint="eastAsia" w:ascii="仿宋_GB2312" w:hAnsi="仿宋" w:eastAsia="仿宋_GB2312" w:cs="Arial"/>
          <w:sz w:val="32"/>
          <w:szCs w:val="32"/>
        </w:rPr>
        <w:t>0MVA的主变。</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3. 本工程</w:t>
      </w:r>
      <w:r>
        <w:rPr>
          <w:rFonts w:ascii="仿宋_GB2312" w:hAnsi="仿宋" w:eastAsia="仿宋_GB2312" w:cs="Arial"/>
          <w:sz w:val="32"/>
          <w:szCs w:val="32"/>
        </w:rPr>
        <w:t>35kV</w:t>
      </w:r>
      <w:r>
        <w:rPr>
          <w:rFonts w:hint="eastAsia" w:ascii="仿宋_GB2312" w:hAnsi="仿宋" w:eastAsia="仿宋_GB2312" w:cs="Arial"/>
          <w:sz w:val="32"/>
          <w:szCs w:val="32"/>
        </w:rPr>
        <w:t>侧母线主接线采用单元制单母线接线方案，35kV系统的中性点采用低电阻接地方式。</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4. 本工程每段</w:t>
      </w:r>
      <w:r>
        <w:rPr>
          <w:rFonts w:ascii="仿宋_GB2312" w:hAnsi="仿宋" w:eastAsia="仿宋_GB2312" w:cs="Arial"/>
          <w:sz w:val="32"/>
          <w:szCs w:val="32"/>
        </w:rPr>
        <w:t>35kV</w:t>
      </w:r>
      <w:r>
        <w:rPr>
          <w:rFonts w:hint="eastAsia" w:ascii="仿宋_GB2312" w:hAnsi="仿宋" w:eastAsia="仿宋_GB2312" w:cs="Arial"/>
          <w:sz w:val="32"/>
          <w:szCs w:val="32"/>
        </w:rPr>
        <w:t>母线采用</w:t>
      </w:r>
      <w:r>
        <w:rPr>
          <w:rFonts w:ascii="仿宋_GB2312" w:hAnsi="仿宋" w:eastAsia="仿宋_GB2312" w:cs="Arial"/>
          <w:sz w:val="32"/>
          <w:szCs w:val="32"/>
        </w:rPr>
        <w:t>1</w:t>
      </w:r>
      <w:r>
        <w:rPr>
          <w:rFonts w:hint="eastAsia" w:ascii="仿宋_GB2312" w:hAnsi="仿宋" w:eastAsia="仿宋_GB2312" w:cs="Arial"/>
          <w:sz w:val="32"/>
          <w:szCs w:val="32"/>
        </w:rPr>
        <w:t>组SVG型无功补偿装置，容量暂按</w:t>
      </w:r>
      <w:r>
        <w:rPr>
          <w:rFonts w:ascii="仿宋_GB2312" w:hAnsi="仿宋" w:eastAsia="仿宋_GB2312" w:cs="Arial"/>
          <w:sz w:val="32"/>
          <w:szCs w:val="32"/>
        </w:rPr>
        <w:t>30Mvar</w:t>
      </w:r>
      <w:r>
        <w:rPr>
          <w:rFonts w:hint="eastAsia" w:ascii="仿宋_GB2312" w:hAnsi="仿宋" w:eastAsia="仿宋_GB2312" w:cs="Arial"/>
          <w:sz w:val="32"/>
          <w:szCs w:val="32"/>
        </w:rPr>
        <w:t>考虑，共计2组。无功补偿装置按直挂水冷式考虑。请项目公司委托完成电能质量专题报告编制，最终以接入系统批复意见为准。</w:t>
      </w:r>
    </w:p>
    <w:p>
      <w:pPr>
        <w:autoSpaceDE w:val="0"/>
        <w:autoSpaceDN w:val="0"/>
        <w:adjustRightInd w:val="0"/>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（三）风电场集电系统</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 本工程拟安装30台单机容量为5500kW风电机组和7台单机容量为5000kW风电机组，采用一机一变方式，经由箱变升压至35kV电压等级，经</w:t>
      </w:r>
      <w:r>
        <w:rPr>
          <w:rFonts w:ascii="仿宋_GB2312" w:hAnsi="仿宋" w:eastAsia="仿宋_GB2312" w:cs="Arial"/>
          <w:sz w:val="32"/>
          <w:szCs w:val="32"/>
        </w:rPr>
        <w:t>8</w:t>
      </w:r>
      <w:r>
        <w:rPr>
          <w:rFonts w:hint="eastAsia" w:ascii="仿宋_GB2312" w:hAnsi="仿宋" w:eastAsia="仿宋_GB2312" w:cs="Arial"/>
          <w:sz w:val="32"/>
          <w:szCs w:val="32"/>
        </w:rPr>
        <w:t>回35kV集电线路（每回线路连接4</w:t>
      </w:r>
      <w:r>
        <w:rPr>
          <w:rFonts w:hint="eastAsia" w:ascii="仿宋_GB2312" w:hAnsi="仿宋_GB2312" w:eastAsia="仿宋_GB2312"/>
          <w:sz w:val="32"/>
          <w:szCs w:val="32"/>
        </w:rPr>
        <w:t>～</w:t>
      </w:r>
      <w:r>
        <w:rPr>
          <w:rFonts w:hint="eastAsia" w:ascii="仿宋_GB2312" w:hAnsi="仿宋" w:eastAsia="仿宋_GB2312" w:cs="Arial"/>
          <w:sz w:val="32"/>
          <w:szCs w:val="32"/>
        </w:rPr>
        <w:t>5台风电机组）接入</w:t>
      </w:r>
      <w:r>
        <w:rPr>
          <w:rFonts w:hint="eastAsia" w:ascii="仿宋_GB2312" w:hAnsi="仿宋_GB2312" w:eastAsia="仿宋_GB2312"/>
          <w:color w:val="auto"/>
          <w:kern w:val="2"/>
          <w:sz w:val="32"/>
          <w:szCs w:val="32"/>
        </w:rPr>
        <w:t>110kV</w:t>
      </w:r>
      <w:r>
        <w:rPr>
          <w:rFonts w:hint="eastAsia" w:ascii="仿宋_GB2312" w:hAnsi="仿宋" w:eastAsia="仿宋_GB2312" w:cs="Arial"/>
          <w:sz w:val="32"/>
          <w:szCs w:val="32"/>
        </w:rPr>
        <w:t>风电场升压站的35kV母线，本阶段集电线路拟采用架空线与直埋电缆相结合的敷设方案，按变截面方式设计，架空线路径长度约为8</w:t>
      </w:r>
      <w:r>
        <w:rPr>
          <w:rFonts w:ascii="仿宋_GB2312" w:hAnsi="仿宋" w:eastAsia="仿宋_GB2312" w:cs="Arial"/>
          <w:sz w:val="32"/>
          <w:szCs w:val="32"/>
        </w:rPr>
        <w:t>1</w:t>
      </w:r>
      <w:r>
        <w:rPr>
          <w:rFonts w:hint="eastAsia" w:ascii="仿宋_GB2312" w:hAnsi="仿宋" w:eastAsia="仿宋_GB2312" w:cs="Arial"/>
          <w:sz w:val="32"/>
          <w:szCs w:val="32"/>
        </w:rPr>
        <w:t>.</w:t>
      </w:r>
      <w:r>
        <w:rPr>
          <w:rFonts w:ascii="仿宋_GB2312" w:hAnsi="仿宋" w:eastAsia="仿宋_GB2312" w:cs="Arial"/>
          <w:sz w:val="32"/>
          <w:szCs w:val="32"/>
        </w:rPr>
        <w:t>6km</w:t>
      </w:r>
      <w:r>
        <w:rPr>
          <w:rFonts w:hint="eastAsia" w:ascii="仿宋_GB2312" w:hAnsi="仿宋" w:eastAsia="仿宋_GB2312" w:cs="Arial"/>
          <w:sz w:val="32"/>
          <w:szCs w:val="32"/>
        </w:rPr>
        <w:t>，其中双回架空线路路径长约2×3.6km，单回架空线路路径长约7</w:t>
      </w:r>
      <w:r>
        <w:rPr>
          <w:rFonts w:ascii="仿宋_GB2312" w:hAnsi="仿宋" w:eastAsia="仿宋_GB2312" w:cs="Arial"/>
          <w:sz w:val="32"/>
          <w:szCs w:val="32"/>
        </w:rPr>
        <w:t>8</w:t>
      </w:r>
      <w:r>
        <w:rPr>
          <w:rFonts w:hint="eastAsia" w:ascii="仿宋_GB2312" w:hAnsi="仿宋" w:eastAsia="仿宋_GB2312" w:cs="Arial"/>
          <w:sz w:val="32"/>
          <w:szCs w:val="32"/>
        </w:rPr>
        <w:t>km;直埋电缆线路总长度约</w:t>
      </w:r>
      <w:r>
        <w:rPr>
          <w:rFonts w:ascii="仿宋_GB2312" w:hAnsi="仿宋" w:eastAsia="仿宋_GB2312" w:cs="Arial"/>
          <w:sz w:val="32"/>
          <w:szCs w:val="32"/>
        </w:rPr>
        <w:t>5.64</w:t>
      </w:r>
      <w:r>
        <w:rPr>
          <w:rFonts w:hint="eastAsia" w:ascii="仿宋_GB2312" w:hAnsi="仿宋" w:eastAsia="仿宋_GB2312" w:cs="Arial"/>
          <w:sz w:val="32"/>
          <w:szCs w:val="32"/>
        </w:rPr>
        <w:t>km，电缆段采用铝芯材质。</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2.</w:t>
      </w:r>
      <w:r>
        <w:rPr>
          <w:rFonts w:hint="eastAsia" w:ascii="仿宋_GB2312" w:hAnsi="仿宋" w:eastAsia="仿宋_GB2312" w:cs="Arial"/>
          <w:sz w:val="32"/>
          <w:szCs w:val="32"/>
        </w:rPr>
        <w:t xml:space="preserve"> 本工程集电线路沿线交叉跨越物如下表，请项目公司关注跨越协调及关注对集电线路路径及投资的影响。</w:t>
      </w:r>
    </w:p>
    <w:p>
      <w:pPr>
        <w:spacing w:line="560" w:lineRule="exact"/>
        <w:jc w:val="center"/>
        <w:rPr>
          <w:rFonts w:ascii="仿宋_GB2312" w:hAnsi="仿宋_GB2312" w:eastAsia="仿宋_GB2312" w:cs="仿宋_GB2312"/>
          <w:sz w:val="30"/>
          <w:szCs w:val="30"/>
        </w:rPr>
      </w:pPr>
      <w:r>
        <w:rPr>
          <w:rFonts w:hint="eastAsia" w:ascii="仿宋_GB2312" w:hAnsi="仿宋_GB2312" w:eastAsia="仿宋_GB2312" w:cs="仿宋_GB2312"/>
          <w:sz w:val="30"/>
          <w:szCs w:val="30"/>
        </w:rPr>
        <w:t>沿线交叉跨越表</w:t>
      </w:r>
    </w:p>
    <w:tbl>
      <w:tblPr>
        <w:tblStyle w:val="18"/>
        <w:tblW w:w="851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8"/>
        <w:gridCol w:w="5102"/>
        <w:gridCol w:w="23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tblHeader/>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b/>
                <w:bCs/>
                <w:sz w:val="21"/>
                <w:szCs w:val="21"/>
              </w:rPr>
            </w:pPr>
            <w:r>
              <w:rPr>
                <w:rFonts w:hint="eastAsia" w:ascii="仿宋_GB2312" w:hAnsi="仿宋_GB2312" w:eastAsia="仿宋_GB2312" w:cs="仿宋_GB2312"/>
                <w:b/>
                <w:bCs/>
                <w:sz w:val="21"/>
                <w:szCs w:val="21"/>
              </w:rPr>
              <w:t>序号</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b/>
                <w:bCs/>
                <w:sz w:val="21"/>
                <w:szCs w:val="21"/>
              </w:rPr>
            </w:pPr>
            <w:r>
              <w:rPr>
                <w:rFonts w:hint="eastAsia" w:ascii="仿宋_GB2312" w:hAnsi="仿宋_GB2312" w:eastAsia="仿宋_GB2312" w:cs="仿宋_GB2312"/>
                <w:b/>
                <w:bCs/>
                <w:sz w:val="21"/>
                <w:szCs w:val="21"/>
              </w:rPr>
              <w:t>被跨越物名称</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b/>
                <w:bCs/>
                <w:sz w:val="21"/>
                <w:szCs w:val="21"/>
              </w:rPr>
            </w:pPr>
            <w:r>
              <w:rPr>
                <w:rFonts w:hint="eastAsia" w:ascii="仿宋_GB2312" w:hAnsi="仿宋_GB2312" w:eastAsia="仿宋_GB2312" w:cs="仿宋_GB2312"/>
                <w:b/>
                <w:bCs/>
                <w:sz w:val="21"/>
                <w:szCs w:val="21"/>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1</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公路、县道</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8次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2</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水泥路</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42次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3</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乡村土路</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68次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4</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钻110kV</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8次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5</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35kV</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15次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6</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10kV</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40次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7</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低压线</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40次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8</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通信线</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40次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jc w:val="center"/>
        </w:trPr>
        <w:tc>
          <w:tcPr>
            <w:tcW w:w="104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9</w:t>
            </w:r>
          </w:p>
        </w:tc>
        <w:tc>
          <w:tcPr>
            <w:tcW w:w="510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石油天然气管道</w:t>
            </w:r>
          </w:p>
        </w:tc>
        <w:tc>
          <w:tcPr>
            <w:tcW w:w="23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exact"/>
              <w:jc w:val="center"/>
              <w:rPr>
                <w:rFonts w:ascii="仿宋_GB2312" w:hAnsi="仿宋_GB2312" w:eastAsia="仿宋_GB2312" w:cs="仿宋_GB2312"/>
                <w:sz w:val="21"/>
                <w:szCs w:val="21"/>
              </w:rPr>
            </w:pPr>
            <w:r>
              <w:rPr>
                <w:rFonts w:hint="eastAsia" w:ascii="仿宋_GB2312" w:hAnsi="仿宋_GB2312" w:eastAsia="仿宋_GB2312" w:cs="仿宋_GB2312"/>
                <w:sz w:val="21"/>
                <w:szCs w:val="21"/>
              </w:rPr>
              <w:t>15次</w:t>
            </w:r>
          </w:p>
        </w:tc>
      </w:tr>
    </w:tbl>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 xml:space="preserve">3. </w:t>
      </w:r>
      <w:r>
        <w:rPr>
          <w:rFonts w:ascii="仿宋_GB2312" w:hAnsi="仿宋" w:eastAsia="仿宋_GB2312" w:cs="Arial"/>
          <w:sz w:val="32"/>
          <w:szCs w:val="32"/>
        </w:rPr>
        <w:t>本</w:t>
      </w:r>
      <w:r>
        <w:rPr>
          <w:rFonts w:hint="eastAsia" w:ascii="仿宋_GB2312" w:hAnsi="仿宋" w:eastAsia="仿宋_GB2312" w:cs="Arial"/>
          <w:sz w:val="32"/>
          <w:szCs w:val="32"/>
        </w:rPr>
        <w:t>工程的</w:t>
      </w:r>
      <w:r>
        <w:rPr>
          <w:rFonts w:ascii="仿宋_GB2312" w:hAnsi="仿宋" w:eastAsia="仿宋_GB2312" w:cs="Arial"/>
          <w:sz w:val="32"/>
          <w:szCs w:val="32"/>
        </w:rPr>
        <w:t>集电线路暂按可研提供</w:t>
      </w:r>
      <w:r>
        <w:rPr>
          <w:rFonts w:hint="eastAsia" w:ascii="仿宋_GB2312" w:hAnsi="仿宋" w:eastAsia="仿宋_GB2312" w:cs="Arial"/>
          <w:sz w:val="32"/>
          <w:szCs w:val="32"/>
        </w:rPr>
        <w:t>风电机组</w:t>
      </w:r>
      <w:r>
        <w:rPr>
          <w:rFonts w:ascii="仿宋_GB2312" w:hAnsi="仿宋" w:eastAsia="仿宋_GB2312" w:cs="Arial"/>
          <w:sz w:val="32"/>
          <w:szCs w:val="32"/>
        </w:rPr>
        <w:t>布置及升压站站址选择复核的电缆长度，下阶段请项目公司关注微观选址、</w:t>
      </w:r>
      <w:r>
        <w:rPr>
          <w:rFonts w:hint="eastAsia" w:ascii="仿宋_GB2312" w:hAnsi="仿宋" w:eastAsia="仿宋_GB2312" w:cs="Arial"/>
          <w:sz w:val="32"/>
          <w:szCs w:val="32"/>
        </w:rPr>
        <w:t>风电机组</w:t>
      </w:r>
      <w:r>
        <w:rPr>
          <w:rFonts w:ascii="仿宋_GB2312" w:hAnsi="仿宋" w:eastAsia="仿宋_GB2312" w:cs="Arial"/>
          <w:sz w:val="32"/>
          <w:szCs w:val="32"/>
        </w:rPr>
        <w:t>布置、升压站站址选择、道路路径对本工程集电线路长度的影响并复核电缆压降。</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4</w:t>
      </w:r>
      <w:r>
        <w:rPr>
          <w:rFonts w:hint="eastAsia" w:ascii="仿宋_GB2312" w:hAnsi="仿宋" w:eastAsia="仿宋_GB2312" w:cs="Arial"/>
          <w:sz w:val="32"/>
          <w:szCs w:val="32"/>
        </w:rPr>
        <w:t>. 原则同意本工程箱式升压变接线设计方案。</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（四）本工程升压站</w:t>
      </w:r>
      <w:r>
        <w:rPr>
          <w:rFonts w:hint="eastAsia" w:ascii="仿宋_GB2312" w:hAnsi="仿宋_GB2312" w:eastAsia="仿宋_GB2312"/>
          <w:color w:val="auto"/>
          <w:kern w:val="2"/>
          <w:sz w:val="32"/>
          <w:szCs w:val="32"/>
        </w:rPr>
        <w:t>110kV</w:t>
      </w:r>
      <w:r>
        <w:rPr>
          <w:rFonts w:hint="eastAsia" w:ascii="仿宋_GB2312" w:hAnsi="仿宋" w:eastAsia="仿宋_GB2312" w:cs="Arial"/>
          <w:sz w:val="32"/>
          <w:szCs w:val="32"/>
        </w:rPr>
        <w:t>系统短路电流开断水平按4</w:t>
      </w:r>
      <w:r>
        <w:rPr>
          <w:rFonts w:ascii="仿宋_GB2312" w:hAnsi="仿宋" w:eastAsia="仿宋_GB2312" w:cs="Arial"/>
          <w:sz w:val="32"/>
          <w:szCs w:val="32"/>
        </w:rPr>
        <w:t>0</w:t>
      </w:r>
      <w:r>
        <w:rPr>
          <w:rFonts w:hint="eastAsia" w:ascii="仿宋_GB2312" w:hAnsi="仿宋" w:eastAsia="仿宋_GB2312" w:cs="Arial"/>
          <w:sz w:val="32"/>
          <w:szCs w:val="32"/>
        </w:rPr>
        <w:t>kA考虑，35kV系统短路电流开断水平按</w:t>
      </w:r>
      <w:r>
        <w:rPr>
          <w:rFonts w:ascii="仿宋_GB2312" w:hAnsi="仿宋" w:eastAsia="仿宋_GB2312" w:cs="Arial"/>
          <w:sz w:val="32"/>
          <w:szCs w:val="32"/>
        </w:rPr>
        <w:t>31.5</w:t>
      </w:r>
      <w:r>
        <w:rPr>
          <w:rFonts w:hint="eastAsia" w:ascii="仿宋_GB2312" w:hAnsi="仿宋" w:eastAsia="仿宋_GB2312" w:cs="Arial"/>
          <w:sz w:val="32"/>
          <w:szCs w:val="32"/>
        </w:rPr>
        <w:t>kA考虑，1.14kV系统短路电流开断水平按</w:t>
      </w:r>
      <w:r>
        <w:rPr>
          <w:rFonts w:ascii="仿宋_GB2312" w:hAnsi="仿宋" w:eastAsia="仿宋_GB2312" w:cs="Arial"/>
          <w:sz w:val="32"/>
          <w:szCs w:val="32"/>
        </w:rPr>
        <w:t>63kA考虑</w:t>
      </w:r>
      <w:r>
        <w:rPr>
          <w:rFonts w:hint="eastAsia" w:ascii="仿宋_GB2312" w:hAnsi="仿宋" w:eastAsia="仿宋_GB2312" w:cs="Arial"/>
          <w:sz w:val="32"/>
          <w:szCs w:val="32"/>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（五）主要电气设备选择原则</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 本工程110kV配电装置采用户外GIS，避雷器外置方案。</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2.</w:t>
      </w:r>
      <w:bookmarkStart w:id="0" w:name="OLE_LINK14"/>
      <w:bookmarkEnd w:id="0"/>
      <w:r>
        <w:rPr>
          <w:rFonts w:hint="eastAsia" w:ascii="仿宋_GB2312" w:hAnsi="仿宋" w:eastAsia="仿宋_GB2312" w:cs="Arial"/>
          <w:sz w:val="32"/>
          <w:szCs w:val="32"/>
        </w:rPr>
        <w:t xml:space="preserve"> 本工程本期采用</w:t>
      </w:r>
      <w:r>
        <w:rPr>
          <w:rFonts w:ascii="仿宋_GB2312" w:hAnsi="仿宋" w:eastAsia="仿宋_GB2312" w:cs="Arial"/>
          <w:sz w:val="32"/>
          <w:szCs w:val="32"/>
        </w:rPr>
        <w:t>2</w:t>
      </w:r>
      <w:r>
        <w:rPr>
          <w:rFonts w:hint="eastAsia" w:ascii="仿宋_GB2312" w:hAnsi="仿宋" w:eastAsia="仿宋_GB2312" w:cs="Arial"/>
          <w:sz w:val="32"/>
          <w:szCs w:val="32"/>
        </w:rPr>
        <w:t>台三相自冷型油浸式双绕组有载调压主变压器，容量分别为1</w:t>
      </w:r>
      <w:r>
        <w:rPr>
          <w:rFonts w:ascii="仿宋_GB2312" w:hAnsi="仿宋" w:eastAsia="仿宋_GB2312" w:cs="Arial"/>
          <w:sz w:val="32"/>
          <w:szCs w:val="32"/>
        </w:rPr>
        <w:t>00</w:t>
      </w:r>
      <w:r>
        <w:rPr>
          <w:rFonts w:hint="eastAsia" w:ascii="仿宋_GB2312" w:hAnsi="仿宋" w:eastAsia="仿宋_GB2312" w:cs="Arial"/>
          <w:sz w:val="32"/>
          <w:szCs w:val="32"/>
        </w:rPr>
        <w:t>MVA，额定电压比：115±8</w:t>
      </w:r>
      <w:r>
        <w:rPr>
          <w:rFonts w:ascii="仿宋_GB2312" w:hAnsi="仿宋" w:eastAsia="仿宋_GB2312" w:cs="Arial"/>
          <w:sz w:val="32"/>
          <w:szCs w:val="32"/>
        </w:rPr>
        <w:t>x</w:t>
      </w:r>
      <w:r>
        <w:rPr>
          <w:rFonts w:hint="eastAsia" w:ascii="仿宋_GB2312" w:hAnsi="仿宋" w:eastAsia="仿宋_GB2312" w:cs="Arial"/>
          <w:sz w:val="32"/>
          <w:szCs w:val="32"/>
        </w:rPr>
        <w:t>1.25％/37kV，连接组别：YN，d11，阻抗电压：</w:t>
      </w:r>
      <w:r>
        <w:rPr>
          <w:rFonts w:ascii="仿宋_GB2312" w:hAnsi="仿宋" w:eastAsia="仿宋_GB2312" w:cs="Arial"/>
          <w:sz w:val="32"/>
          <w:szCs w:val="32"/>
        </w:rPr>
        <w:t>10.5</w:t>
      </w:r>
      <w:r>
        <w:rPr>
          <w:rFonts w:hint="eastAsia" w:ascii="仿宋_GB2312" w:hAnsi="仿宋" w:eastAsia="仿宋_GB2312" w:cs="Arial"/>
          <w:sz w:val="32"/>
          <w:szCs w:val="32"/>
        </w:rPr>
        <w:t>%。</w:t>
      </w:r>
    </w:p>
    <w:p>
      <w:pPr>
        <w:autoSpaceDE w:val="0"/>
        <w:autoSpaceDN w:val="0"/>
        <w:adjustRightInd w:val="0"/>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3</w:t>
      </w:r>
      <w:r>
        <w:rPr>
          <w:rFonts w:hint="eastAsia" w:ascii="仿宋_GB2312" w:hAnsi="仿宋" w:eastAsia="仿宋_GB2312" w:cs="Arial"/>
          <w:sz w:val="32"/>
          <w:szCs w:val="32"/>
        </w:rPr>
        <w:t>. 本工程35kV配电装置采用户内成套金属铠装式开关柜。</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4</w:t>
      </w:r>
      <w:r>
        <w:rPr>
          <w:rFonts w:ascii="仿宋_GB2312" w:hAnsi="仿宋" w:eastAsia="仿宋_GB2312" w:cs="Arial"/>
          <w:sz w:val="32"/>
          <w:szCs w:val="32"/>
        </w:rPr>
        <w:t>.</w:t>
      </w:r>
      <w:r>
        <w:rPr>
          <w:rFonts w:hint="eastAsia" w:ascii="仿宋_GB2312" w:hAnsi="仿宋" w:eastAsia="仿宋_GB2312" w:cs="Arial"/>
          <w:sz w:val="32"/>
          <w:szCs w:val="32"/>
        </w:rPr>
        <w:t xml:space="preserve"> 本工程采用1套3</w:t>
      </w:r>
      <w:r>
        <w:rPr>
          <w:rFonts w:ascii="仿宋_GB2312" w:hAnsi="仿宋" w:eastAsia="仿宋_GB2312" w:cs="Arial"/>
          <w:sz w:val="32"/>
          <w:szCs w:val="32"/>
        </w:rPr>
        <w:t>5kV</w:t>
      </w:r>
      <w:r>
        <w:rPr>
          <w:rFonts w:hint="eastAsia" w:ascii="仿宋_GB2312" w:hAnsi="仿宋" w:eastAsia="仿宋_GB2312" w:cs="Arial"/>
          <w:sz w:val="32"/>
          <w:szCs w:val="32"/>
        </w:rPr>
        <w:t>接地变兼站用变成套设备，容量为</w:t>
      </w:r>
      <w:r>
        <w:rPr>
          <w:rFonts w:ascii="仿宋_GB2312" w:hAnsi="仿宋" w:eastAsia="仿宋_GB2312" w:cs="Arial"/>
          <w:sz w:val="32"/>
          <w:szCs w:val="32"/>
        </w:rPr>
        <w:t>800kVA</w:t>
      </w:r>
      <w:r>
        <w:rPr>
          <w:rFonts w:hint="eastAsia" w:ascii="仿宋_GB2312" w:hAnsi="仿宋" w:eastAsia="仿宋_GB2312" w:cs="Arial"/>
          <w:sz w:val="32"/>
          <w:szCs w:val="32"/>
        </w:rPr>
        <w:t>，二次容量为</w:t>
      </w:r>
      <w:r>
        <w:rPr>
          <w:rFonts w:ascii="仿宋_GB2312" w:hAnsi="仿宋" w:eastAsia="仿宋_GB2312" w:cs="Arial"/>
          <w:sz w:val="32"/>
          <w:szCs w:val="32"/>
        </w:rPr>
        <w:t>315</w:t>
      </w:r>
      <w:r>
        <w:rPr>
          <w:rFonts w:hint="eastAsia" w:ascii="仿宋_GB2312" w:hAnsi="仿宋" w:eastAsia="仿宋_GB2312" w:cs="Arial"/>
          <w:sz w:val="32"/>
          <w:szCs w:val="32"/>
        </w:rPr>
        <w:t>kVA，接地电阻为</w:t>
      </w:r>
      <w:r>
        <w:rPr>
          <w:rFonts w:ascii="仿宋_GB2312" w:hAnsi="仿宋" w:eastAsia="仿宋_GB2312" w:cs="Arial"/>
          <w:sz w:val="32"/>
          <w:szCs w:val="32"/>
        </w:rPr>
        <w:t>101</w:t>
      </w:r>
      <w:r>
        <w:rPr>
          <w:rFonts w:hint="eastAsia" w:ascii="仿宋_GB2312" w:hAnsi="仿宋" w:eastAsia="仿宋_GB2312" w:cs="Arial"/>
          <w:sz w:val="32"/>
          <w:szCs w:val="32"/>
        </w:rPr>
        <w:t>Ω；1套35kV接地变成套设备，容量为</w:t>
      </w:r>
      <w:r>
        <w:rPr>
          <w:rFonts w:ascii="仿宋_GB2312" w:hAnsi="仿宋" w:eastAsia="仿宋_GB2312" w:cs="Arial"/>
          <w:sz w:val="32"/>
          <w:szCs w:val="32"/>
        </w:rPr>
        <w:t>5</w:t>
      </w:r>
      <w:r>
        <w:rPr>
          <w:rFonts w:hint="eastAsia" w:ascii="仿宋_GB2312" w:hAnsi="仿宋" w:eastAsia="仿宋_GB2312" w:cs="Arial"/>
          <w:sz w:val="32"/>
          <w:szCs w:val="32"/>
        </w:rPr>
        <w:t>00kVA，接地电阻为101Ω。</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5</w:t>
      </w:r>
      <w:r>
        <w:rPr>
          <w:rFonts w:hint="eastAsia" w:ascii="仿宋_GB2312" w:hAnsi="仿宋" w:eastAsia="仿宋_GB2312" w:cs="Arial"/>
          <w:sz w:val="32"/>
          <w:szCs w:val="32"/>
        </w:rPr>
        <w:t>. 本工程机组升压箱变采用双绕组自冷型油浸华式箱变，变压器能效等级采用</w:t>
      </w:r>
      <w:r>
        <w:rPr>
          <w:rFonts w:ascii="仿宋_GB2312" w:hAnsi="仿宋" w:eastAsia="仿宋_GB2312" w:cs="Arial"/>
          <w:sz w:val="32"/>
          <w:szCs w:val="32"/>
        </w:rPr>
        <w:t>GB20052-2020《电力变压器能效限定值及能效等级》</w:t>
      </w:r>
      <w:r>
        <w:rPr>
          <w:rFonts w:hint="eastAsia" w:ascii="仿宋_GB2312" w:hAnsi="仿宋" w:eastAsia="仿宋_GB2312" w:cs="Arial"/>
          <w:sz w:val="32"/>
          <w:szCs w:val="32"/>
        </w:rPr>
        <w:t>规定</w:t>
      </w:r>
      <w:r>
        <w:rPr>
          <w:rFonts w:ascii="仿宋_GB2312" w:hAnsi="仿宋" w:eastAsia="仿宋_GB2312" w:cs="Arial"/>
          <w:sz w:val="32"/>
          <w:szCs w:val="32"/>
        </w:rPr>
        <w:t>的3级能效水平</w:t>
      </w:r>
      <w:r>
        <w:rPr>
          <w:rFonts w:hint="eastAsia" w:ascii="仿宋_GB2312" w:hAnsi="仿宋" w:eastAsia="仿宋_GB2312" w:cs="Arial"/>
          <w:sz w:val="32"/>
          <w:szCs w:val="32"/>
        </w:rPr>
        <w:t>；箱变高压侧采用断路器+隔离开关方案，变压器容量为6</w:t>
      </w:r>
      <w:r>
        <w:rPr>
          <w:rFonts w:ascii="仿宋_GB2312" w:hAnsi="仿宋" w:eastAsia="仿宋_GB2312" w:cs="Arial"/>
          <w:sz w:val="32"/>
          <w:szCs w:val="32"/>
        </w:rPr>
        <w:t>000kVA</w:t>
      </w:r>
      <w:r>
        <w:rPr>
          <w:rFonts w:hint="eastAsia" w:ascii="仿宋_GB2312" w:hAnsi="仿宋" w:eastAsia="仿宋_GB2312" w:cs="Arial"/>
          <w:sz w:val="32"/>
          <w:szCs w:val="32"/>
        </w:rPr>
        <w:t>、5</w:t>
      </w:r>
      <w:r>
        <w:rPr>
          <w:rFonts w:ascii="仿宋_GB2312" w:hAnsi="仿宋" w:eastAsia="仿宋_GB2312" w:cs="Arial"/>
          <w:sz w:val="32"/>
          <w:szCs w:val="32"/>
        </w:rPr>
        <w:t>500kVA</w:t>
      </w:r>
      <w:r>
        <w:rPr>
          <w:rFonts w:hint="eastAsia" w:ascii="仿宋_GB2312" w:hAnsi="仿宋" w:eastAsia="仿宋_GB2312" w:cs="Arial"/>
          <w:sz w:val="32"/>
          <w:szCs w:val="32"/>
        </w:rPr>
        <w:t>。</w:t>
      </w:r>
    </w:p>
    <w:p>
      <w:pPr>
        <w:autoSpaceDE w:val="0"/>
        <w:autoSpaceDN w:val="0"/>
        <w:adjustRightInd w:val="0"/>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（六）电气总平面布置</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w:t>
      </w:r>
      <w:r>
        <w:rPr>
          <w:rFonts w:ascii="仿宋_GB2312" w:hAnsi="仿宋" w:eastAsia="仿宋_GB2312" w:cs="Arial"/>
          <w:sz w:val="32"/>
          <w:szCs w:val="32"/>
        </w:rPr>
        <w:t xml:space="preserve"> </w:t>
      </w:r>
      <w:r>
        <w:rPr>
          <w:rFonts w:hint="eastAsia" w:ascii="仿宋_GB2312" w:hAnsi="仿宋" w:eastAsia="仿宋_GB2312" w:cs="Arial"/>
          <w:sz w:val="32"/>
          <w:szCs w:val="32"/>
        </w:rPr>
        <w:t>本工程升压站暂按推荐位置位于整个风电场偏中部位置，</w:t>
      </w:r>
      <w:r>
        <w:rPr>
          <w:rFonts w:ascii="仿宋_GB2312" w:hAnsi="仿宋" w:eastAsia="仿宋_GB2312" w:cs="Arial"/>
          <w:sz w:val="32"/>
          <w:szCs w:val="32"/>
        </w:rPr>
        <w:t>110kV出线向北出线</w:t>
      </w:r>
      <w:r>
        <w:rPr>
          <w:rFonts w:hint="eastAsia" w:ascii="仿宋_GB2312" w:hAnsi="仿宋" w:eastAsia="仿宋_GB2312" w:cs="Arial"/>
          <w:sz w:val="32"/>
          <w:szCs w:val="32"/>
        </w:rPr>
        <w:t>，110kV配电装置与送出线路接口位置较合理性。</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2</w:t>
      </w:r>
      <w:r>
        <w:rPr>
          <w:rFonts w:ascii="仿宋_GB2312" w:hAnsi="仿宋" w:eastAsia="仿宋_GB2312" w:cs="Arial"/>
          <w:sz w:val="32"/>
          <w:szCs w:val="32"/>
        </w:rPr>
        <w:t xml:space="preserve">. </w:t>
      </w:r>
      <w:r>
        <w:rPr>
          <w:rFonts w:hint="eastAsia" w:ascii="仿宋_GB2312" w:hAnsi="仿宋" w:eastAsia="仿宋_GB2312" w:cs="Arial"/>
          <w:sz w:val="32"/>
          <w:szCs w:val="32"/>
        </w:rPr>
        <w:t>本工程升压站生产区北向南依次布置110kV配电装置区、主变压器区、35kV配电装置一次舱及二次设备预制舱、无功补偿装置，接地变装置位于</w:t>
      </w:r>
      <w:r>
        <w:rPr>
          <w:rFonts w:ascii="仿宋_GB2312" w:hAnsi="仿宋" w:eastAsia="仿宋_GB2312" w:cs="Arial"/>
          <w:sz w:val="32"/>
          <w:szCs w:val="32"/>
        </w:rPr>
        <w:t>110kV配电装置</w:t>
      </w:r>
      <w:r>
        <w:rPr>
          <w:rFonts w:hint="eastAsia" w:ascii="仿宋_GB2312" w:hAnsi="仿宋" w:eastAsia="仿宋_GB2312" w:cs="Arial"/>
          <w:sz w:val="32"/>
          <w:szCs w:val="32"/>
        </w:rPr>
        <w:t>东侧。</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（七）本工程升压站设置1组容量为</w:t>
      </w:r>
      <w:r>
        <w:rPr>
          <w:rFonts w:ascii="仿宋_GB2312" w:hAnsi="仿宋" w:eastAsia="仿宋_GB2312" w:cs="Arial"/>
          <w:sz w:val="32"/>
          <w:szCs w:val="32"/>
        </w:rPr>
        <w:t>250</w:t>
      </w:r>
      <w:r>
        <w:rPr>
          <w:rFonts w:hint="eastAsia" w:ascii="仿宋_GB2312" w:hAnsi="仿宋" w:eastAsia="仿宋_GB2312" w:cs="Arial"/>
          <w:sz w:val="32"/>
          <w:szCs w:val="32"/>
        </w:rPr>
        <w:t>Ah的铅酸免维护蓄电池组。采用1套交流不停电电源系统（UPS），在线双机冗余配置，容量暂按2×</w:t>
      </w:r>
      <w:r>
        <w:rPr>
          <w:rFonts w:ascii="仿宋_GB2312" w:hAnsi="仿宋" w:eastAsia="仿宋_GB2312" w:cs="Arial"/>
          <w:sz w:val="32"/>
          <w:szCs w:val="32"/>
        </w:rPr>
        <w:t>7.5</w:t>
      </w:r>
      <w:r>
        <w:rPr>
          <w:rFonts w:hint="eastAsia" w:ascii="仿宋_GB2312" w:hAnsi="仿宋" w:eastAsia="仿宋_GB2312" w:cs="Arial"/>
          <w:sz w:val="32"/>
          <w:szCs w:val="32"/>
        </w:rPr>
        <w:t>kVA考虑，UPS与直流系统共用蓄电池。</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（八）站用电系统</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 本工程站用电工作电源由引接自升压站35kV母线的站用兼接地变成套装置，容量为315</w:t>
      </w:r>
      <w:r>
        <w:rPr>
          <w:rFonts w:ascii="仿宋_GB2312" w:hAnsi="仿宋" w:eastAsia="仿宋_GB2312" w:cs="Arial"/>
          <w:sz w:val="32"/>
          <w:szCs w:val="32"/>
        </w:rPr>
        <w:t>kVA</w:t>
      </w:r>
      <w:r>
        <w:rPr>
          <w:rFonts w:hint="eastAsia" w:ascii="仿宋_GB2312" w:hAnsi="仿宋" w:eastAsia="仿宋_GB2312" w:cs="Arial"/>
          <w:sz w:val="32"/>
          <w:szCs w:val="32"/>
        </w:rPr>
        <w:t>。</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2. 本工程站用电备用电源由外部引接10kV回路，备用站用变采用施工电源引接，容量为315</w:t>
      </w:r>
      <w:r>
        <w:rPr>
          <w:rFonts w:ascii="仿宋_GB2312" w:hAnsi="仿宋" w:eastAsia="仿宋_GB2312" w:cs="Arial"/>
          <w:sz w:val="32"/>
          <w:szCs w:val="32"/>
        </w:rPr>
        <w:t>kVA</w:t>
      </w:r>
      <w:r>
        <w:rPr>
          <w:rFonts w:hint="eastAsia" w:ascii="仿宋_GB2312" w:hAnsi="仿宋" w:eastAsia="仿宋_GB2312" w:cs="Arial"/>
          <w:sz w:val="32"/>
          <w:szCs w:val="32"/>
        </w:rPr>
        <w:t>。下阶段项目公司应与供电部门签署“永临结合”协议及供电协议。</w:t>
      </w:r>
    </w:p>
    <w:p>
      <w:pPr>
        <w:autoSpaceDE w:val="0"/>
        <w:autoSpaceDN w:val="0"/>
        <w:adjustRightInd w:val="0"/>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（九）防雷接地系统</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1. 原则同意本工程风电机组上的避雷针保护来实现，升压站考虑设置1颗</w:t>
      </w:r>
      <w:r>
        <w:rPr>
          <w:rFonts w:hint="eastAsia" w:ascii="仿宋_GB2312" w:hAnsi="仿宋" w:eastAsia="仿宋_GB2312" w:cs="Arial"/>
          <w:sz w:val="32"/>
          <w:szCs w:val="32"/>
        </w:rPr>
        <w:t>30m</w:t>
      </w:r>
      <w:r>
        <w:rPr>
          <w:rFonts w:ascii="仿宋_GB2312" w:hAnsi="仿宋" w:eastAsia="仿宋_GB2312" w:cs="Arial"/>
          <w:sz w:val="32"/>
          <w:szCs w:val="32"/>
        </w:rPr>
        <w:t>高构架避雷针和2颗30m高独立避雷针联合作为防直击雷方案。</w:t>
      </w:r>
    </w:p>
    <w:p>
      <w:pPr>
        <w:pStyle w:val="21"/>
        <w:snapToGrid w:val="0"/>
        <w:spacing w:line="560" w:lineRule="exact"/>
        <w:ind w:firstLine="640" w:firstLineChars="200"/>
        <w:jc w:val="both"/>
        <w:rPr>
          <w:rFonts w:ascii="仿宋_GB2312" w:hAnsi="仿宋" w:eastAsia="仿宋_GB2312" w:cs="Arial"/>
          <w:color w:val="000000" w:themeColor="text1"/>
          <w:sz w:val="32"/>
          <w:szCs w:val="32"/>
          <w14:textFill>
            <w14:solidFill>
              <w14:schemeClr w14:val="tx1"/>
            </w14:solidFill>
          </w14:textFill>
        </w:rPr>
      </w:pPr>
      <w:r>
        <w:rPr>
          <w:rFonts w:hint="eastAsia" w:ascii="仿宋_GB2312" w:hAnsi="仿宋" w:eastAsia="仿宋_GB2312" w:cs="Arial"/>
          <w:color w:val="000000" w:themeColor="text1"/>
          <w:sz w:val="32"/>
          <w:szCs w:val="32"/>
          <w14:textFill>
            <w14:solidFill>
              <w14:schemeClr w14:val="tx1"/>
            </w14:solidFill>
          </w14:textFill>
        </w:rPr>
        <w:t>2. 原则同意本工程风电机组、箱变区域接地设计原则，风电场址区接地电阻按R≤4Ω设计，接地材料采用热镀锌材质；升压站接地电阻按R≤2000/I设计，接地材料采用热镀锌材质。本阶段风电场址区域拟采用接地模块加外延接地的降阻措施；升压站拟采用缓释离子接地加外延接地的降阻措施，建议下阶段设计单位根据详勘资料复核接地降阻措施。</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（十）监控、继电保护安全自动装置及调度自动化</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 本工程监控系统对升压站内机电设备及风电场机组、箱变进行监控及调度管理，预留远程集控接口。</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2</w:t>
      </w:r>
      <w:r>
        <w:rPr>
          <w:rFonts w:hint="eastAsia" w:ascii="仿宋_GB2312" w:hAnsi="仿宋" w:eastAsia="仿宋_GB2312" w:cs="Arial"/>
          <w:sz w:val="32"/>
          <w:szCs w:val="32"/>
        </w:rPr>
        <w:t>. 本工程暂按接入设计报告的相关要求考虑继电保护、安全自动装置和调度自动化的设计方案。待取得接入系统批复意见后应进一步落实。</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3.</w:t>
      </w:r>
      <w:r>
        <w:rPr>
          <w:rFonts w:hint="eastAsia" w:ascii="仿宋_GB2312" w:hAnsi="仿宋" w:eastAsia="仿宋_GB2312" w:cs="Arial"/>
          <w:sz w:val="32"/>
          <w:szCs w:val="32"/>
        </w:rPr>
        <w:t xml:space="preserve"> 本工程需考虑风电场升压站稳控执行相关设备及曹城汇集站稳控子站分摊。</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（十一）通信</w:t>
      </w:r>
    </w:p>
    <w:p>
      <w:pPr>
        <w:autoSpaceDE w:val="0"/>
        <w:autoSpaceDN w:val="0"/>
        <w:adjustRightInd w:val="0"/>
        <w:snapToGrid w:val="0"/>
        <w:spacing w:line="560" w:lineRule="exact"/>
        <w:ind w:firstLine="640" w:firstLineChars="200"/>
        <w:jc w:val="both"/>
      </w:pPr>
      <w:r>
        <w:rPr>
          <w:rFonts w:hint="eastAsia" w:ascii="仿宋_GB2312" w:hAnsi="仿宋" w:eastAsia="仿宋_GB2312" w:cs="Arial"/>
          <w:sz w:val="32"/>
          <w:szCs w:val="32"/>
        </w:rPr>
        <w:t>1. 本工程沿新建单</w:t>
      </w:r>
      <w:r>
        <w:rPr>
          <w:rFonts w:hint="eastAsia" w:ascii="仿宋_GB2312" w:hAnsi="仿宋" w:eastAsia="仿宋_GB2312" w:cs="Arial"/>
          <w:color w:val="000000"/>
          <w:sz w:val="32"/>
          <w:szCs w:val="32"/>
        </w:rPr>
        <w:t>回</w:t>
      </w:r>
      <w:r>
        <w:rPr>
          <w:rFonts w:hint="eastAsia" w:ascii="仿宋_GB2312" w:hAnsi="仿宋" w:eastAsia="仿宋_GB2312" w:cs="Arial"/>
          <w:sz w:val="32"/>
          <w:szCs w:val="32"/>
        </w:rPr>
        <w:t>110kV风电场升压站～曹城3</w:t>
      </w:r>
      <w:r>
        <w:rPr>
          <w:rFonts w:ascii="仿宋_GB2312" w:hAnsi="仿宋" w:eastAsia="仿宋_GB2312" w:cs="Arial"/>
          <w:sz w:val="32"/>
          <w:szCs w:val="32"/>
        </w:rPr>
        <w:t>30</w:t>
      </w:r>
      <w:r>
        <w:rPr>
          <w:rFonts w:hint="eastAsia" w:ascii="仿宋_GB2312" w:hAnsi="仿宋" w:eastAsia="仿宋_GB2312" w:cs="Arial"/>
          <w:sz w:val="32"/>
          <w:szCs w:val="32"/>
        </w:rPr>
        <w:t>汇集站输电架空线路架设2条48芯OPGW，长度约为2×</w:t>
      </w:r>
      <w:r>
        <w:rPr>
          <w:rFonts w:ascii="仿宋_GB2312" w:hAnsi="仿宋" w:eastAsia="仿宋_GB2312" w:cs="Arial"/>
          <w:sz w:val="32"/>
          <w:szCs w:val="32"/>
        </w:rPr>
        <w:t>34.5</w:t>
      </w:r>
      <w:r>
        <w:rPr>
          <w:rFonts w:hint="eastAsia" w:ascii="仿宋_GB2312" w:hAnsi="仿宋" w:eastAsia="仿宋_GB2312" w:cs="Arial"/>
          <w:sz w:val="32"/>
          <w:szCs w:val="32"/>
        </w:rPr>
        <w:t>km。</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2. 本工程风电场址区通信考虑采用环网光纤电缆，将所需数据信号上传至升压站控制室，实现风力发电机组与中央监控机的通讯。并配置手机和对讲机，作为风电场运行人员巡视和检修联络通信用。</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3. 本工程通信电源配置</w:t>
      </w:r>
      <w:r>
        <w:rPr>
          <w:rFonts w:ascii="仿宋_GB2312" w:hAnsi="仿宋" w:eastAsia="仿宋_GB2312" w:cs="Arial"/>
          <w:sz w:val="32"/>
          <w:szCs w:val="32"/>
        </w:rPr>
        <w:t>1</w:t>
      </w:r>
      <w:r>
        <w:rPr>
          <w:rFonts w:hint="eastAsia" w:ascii="仿宋_GB2312" w:hAnsi="仿宋" w:eastAsia="仿宋_GB2312" w:cs="Arial"/>
          <w:sz w:val="32"/>
          <w:szCs w:val="32"/>
        </w:rPr>
        <w:t>套48V/</w:t>
      </w:r>
      <w:r>
        <w:rPr>
          <w:rFonts w:ascii="仿宋_GB2312" w:hAnsi="仿宋" w:eastAsia="仿宋_GB2312" w:cs="Arial"/>
          <w:sz w:val="32"/>
          <w:szCs w:val="32"/>
        </w:rPr>
        <w:t>120</w:t>
      </w:r>
      <w:r>
        <w:rPr>
          <w:rFonts w:hint="eastAsia" w:ascii="仿宋_GB2312" w:hAnsi="仿宋" w:eastAsia="仿宋_GB2312" w:cs="Arial"/>
          <w:sz w:val="32"/>
          <w:szCs w:val="32"/>
        </w:rPr>
        <w:t>A高频开关电源，</w:t>
      </w:r>
      <w:r>
        <w:rPr>
          <w:rFonts w:ascii="仿宋_GB2312" w:hAnsi="仿宋" w:eastAsia="仿宋_GB2312" w:cs="Arial"/>
          <w:sz w:val="32"/>
          <w:szCs w:val="32"/>
        </w:rPr>
        <w:t>1</w:t>
      </w:r>
      <w:r>
        <w:rPr>
          <w:rFonts w:hint="eastAsia" w:ascii="仿宋_GB2312" w:hAnsi="仿宋" w:eastAsia="仿宋_GB2312" w:cs="Arial"/>
          <w:sz w:val="32"/>
          <w:szCs w:val="32"/>
        </w:rPr>
        <w:t>组</w:t>
      </w:r>
      <w:r>
        <w:rPr>
          <w:rFonts w:ascii="仿宋_GB2312" w:hAnsi="仿宋" w:eastAsia="仿宋_GB2312" w:cs="Arial"/>
          <w:sz w:val="32"/>
          <w:szCs w:val="32"/>
        </w:rPr>
        <w:t>2</w:t>
      </w:r>
      <w:r>
        <w:rPr>
          <w:rFonts w:hint="eastAsia" w:ascii="仿宋_GB2312" w:hAnsi="仿宋" w:eastAsia="仿宋_GB2312" w:cs="Arial"/>
          <w:sz w:val="32"/>
          <w:szCs w:val="32"/>
        </w:rPr>
        <w:t>00Ah全密封免维护铅酸蓄电池，再利用升压站直流系统提供一路4</w:t>
      </w:r>
      <w:r>
        <w:rPr>
          <w:rFonts w:ascii="仿宋_GB2312" w:hAnsi="仿宋" w:eastAsia="仿宋_GB2312" w:cs="Arial"/>
          <w:sz w:val="32"/>
          <w:szCs w:val="32"/>
        </w:rPr>
        <w:t>8V</w:t>
      </w:r>
      <w:r>
        <w:rPr>
          <w:rFonts w:hint="eastAsia" w:ascii="仿宋_GB2312" w:hAnsi="仿宋" w:eastAsia="仿宋_GB2312" w:cs="Arial"/>
          <w:sz w:val="32"/>
          <w:szCs w:val="32"/>
        </w:rPr>
        <w:t>直流电源，D</w:t>
      </w:r>
      <w:r>
        <w:rPr>
          <w:rFonts w:ascii="仿宋_GB2312" w:hAnsi="仿宋" w:eastAsia="仿宋_GB2312" w:cs="Arial"/>
          <w:sz w:val="32"/>
          <w:szCs w:val="32"/>
        </w:rPr>
        <w:t>C/DC</w:t>
      </w:r>
      <w:r>
        <w:rPr>
          <w:rFonts w:hint="eastAsia" w:ascii="仿宋_GB2312" w:hAnsi="仿宋" w:eastAsia="仿宋_GB2312" w:cs="Arial"/>
          <w:sz w:val="32"/>
          <w:szCs w:val="32"/>
        </w:rPr>
        <w:t>电源转换系统1套。</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4</w:t>
      </w:r>
      <w:r>
        <w:rPr>
          <w:rFonts w:ascii="仿宋_GB2312" w:hAnsi="仿宋" w:eastAsia="仿宋_GB2312" w:cs="Arial"/>
          <w:sz w:val="32"/>
          <w:szCs w:val="32"/>
        </w:rPr>
        <w:t>.</w:t>
      </w:r>
      <w:r>
        <w:rPr>
          <w:rFonts w:hint="eastAsia" w:ascii="仿宋_GB2312" w:hAnsi="仿宋" w:eastAsia="仿宋_GB2312" w:cs="Arial"/>
          <w:sz w:val="32"/>
          <w:szCs w:val="32"/>
        </w:rPr>
        <w:t xml:space="preserve"> 本工程系统通信配套设计及本工程相关设施配置方案以最终接入系统批复意见为准。</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（十二）本工程设置1套视频图像监控及安全警卫系统，在主控室视频中心对升压站、风电场进行统一监控。同时预留远程监控的接口。</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（十三）本工程风电升压站设置1套火灾自动报警系统，发生火灾时应具有联动图像监视录像的功能。</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（十四）本工程风电场电能量计量点参照《电测量及电能计量装置设计技术规程》</w:t>
      </w:r>
      <w:r>
        <w:rPr>
          <w:rFonts w:ascii="仿宋_GB2312" w:hAnsi="仿宋" w:eastAsia="仿宋_GB2312" w:cs="Arial"/>
          <w:sz w:val="32"/>
          <w:szCs w:val="32"/>
        </w:rPr>
        <w:t>DL/T5137-2001</w:t>
      </w:r>
      <w:r>
        <w:rPr>
          <w:rFonts w:hint="eastAsia" w:ascii="仿宋_GB2312" w:hAnsi="仿宋" w:eastAsia="仿宋_GB2312" w:cs="Arial"/>
          <w:sz w:val="32"/>
          <w:szCs w:val="32"/>
        </w:rPr>
        <w:t>的规定，本工程关口计量点设在华电靖边韩家沟风电场至曹城</w:t>
      </w:r>
      <w:r>
        <w:rPr>
          <w:rFonts w:ascii="仿宋_GB2312" w:hAnsi="仿宋" w:eastAsia="仿宋_GB2312" w:cs="Arial"/>
          <w:sz w:val="32"/>
          <w:szCs w:val="32"/>
        </w:rPr>
        <w:t>330kV汇集站线路两侧、华电靖</w:t>
      </w:r>
      <w:r>
        <w:rPr>
          <w:rFonts w:hint="eastAsia" w:ascii="仿宋_GB2312" w:hAnsi="仿宋" w:eastAsia="仿宋_GB2312" w:cs="Arial"/>
          <w:sz w:val="32"/>
          <w:szCs w:val="32"/>
        </w:rPr>
        <w:t>边韩家沟风电场升压站升压变低压侧、集电线路出线侧、站用变高压侧、无功回路开关侧，均采用主副表配置。</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本工程设置</w:t>
      </w:r>
      <w:r>
        <w:rPr>
          <w:rFonts w:ascii="仿宋_GB2312" w:hAnsi="仿宋" w:eastAsia="仿宋_GB2312" w:cs="Arial"/>
          <w:sz w:val="32"/>
          <w:szCs w:val="32"/>
        </w:rPr>
        <w:t>1</w:t>
      </w:r>
      <w:r>
        <w:rPr>
          <w:rFonts w:hint="eastAsia" w:ascii="仿宋_GB2312" w:hAnsi="仿宋" w:eastAsia="仿宋_GB2312" w:cs="Arial"/>
          <w:sz w:val="32"/>
          <w:szCs w:val="32"/>
        </w:rPr>
        <w:t>套电能量远方计量终端，站内电能量信息上传调端主站。</w:t>
      </w:r>
    </w:p>
    <w:p>
      <w:pPr>
        <w:pStyle w:val="21"/>
        <w:snapToGrid w:val="0"/>
        <w:spacing w:line="560" w:lineRule="exact"/>
        <w:ind w:firstLine="640" w:firstLineChars="200"/>
        <w:jc w:val="both"/>
      </w:pPr>
      <w:r>
        <w:rPr>
          <w:rFonts w:hint="eastAsia" w:ascii="仿宋_GB2312" w:hAnsi="仿宋" w:eastAsia="仿宋_GB2312" w:cs="Arial"/>
          <w:sz w:val="32"/>
          <w:szCs w:val="32"/>
        </w:rPr>
        <w:t>（十五）本工程设置1套电气试验设备。</w:t>
      </w:r>
    </w:p>
    <w:p>
      <w:pPr>
        <w:pStyle w:val="2"/>
        <w:numPr>
          <w:ilvl w:val="0"/>
          <w:numId w:val="2"/>
        </w:numPr>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土建部分</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（一）本工程风电场工程等级为大型工程规模。风电机组地基基础设计级别为甲级，结构安全等级为一级。110kV升压站内建筑物设计使用年限为50年，建筑物设计级别为2级，建筑物结构安全等级为二级。</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（二）本工程构筑物为标准设防类，本工程建筑按本地区抗震设防烈度6度采取抗震措施和地震作用。</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三）本工程拟安装的5.0MW风电机组轮毂高度113m，叶轮直径200m，塔筒重量303t，极端工况最大弯矩89640kN.m，正常工况76932kN.m；拟安装的5.5MW风电机组轮毂高度113m，叶轮直径200m，塔筒重量311t，极端工况最大弯矩94640kN.m，正常工况77432kN.m。</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本工程风电机组基础荷载偏小，塔筒重量偏小，请项目公司关注塔筒安全性。</w:t>
      </w:r>
    </w:p>
    <w:p>
      <w:pPr>
        <w:pStyle w:val="21"/>
        <w:snapToGrid w:val="0"/>
        <w:spacing w:line="560" w:lineRule="exact"/>
        <w:ind w:firstLine="640" w:firstLineChars="200"/>
        <w:jc w:val="both"/>
        <w:rPr>
          <w:rFonts w:hint="eastAsia" w:ascii="仿宋_GB2312" w:hAnsi="仿宋" w:eastAsia="仿宋_GB2312" w:cs="Arial"/>
          <w:sz w:val="32"/>
          <w:szCs w:val="32"/>
        </w:rPr>
      </w:pPr>
      <w:r>
        <w:rPr>
          <w:rFonts w:hint="eastAsia" w:ascii="仿宋_GB2312" w:hAnsi="仿宋" w:eastAsia="仿宋_GB2312" w:cs="Arial"/>
          <w:sz w:val="32"/>
          <w:szCs w:val="32"/>
        </w:rPr>
        <w:t>（四）</w:t>
      </w:r>
      <w:r>
        <w:rPr>
          <w:rFonts w:hint="eastAsia" w:ascii="仿宋_GB2312" w:hAnsi="仿宋" w:eastAsia="仿宋_GB2312" w:cs="Arial"/>
          <w:sz w:val="32"/>
          <w:szCs w:val="32"/>
          <w:lang w:val="en-US" w:eastAsia="zh-CN"/>
        </w:rPr>
        <w:t>原则</w:t>
      </w:r>
      <w:r>
        <w:rPr>
          <w:rFonts w:hint="eastAsia" w:ascii="仿宋_GB2312" w:hAnsi="仿宋" w:eastAsia="仿宋_GB2312" w:cs="Arial"/>
          <w:sz w:val="32"/>
          <w:szCs w:val="32"/>
        </w:rPr>
        <w:t>同意风电机组基础采用环形混凝土扩底灌注桩，</w:t>
      </w:r>
      <w:r>
        <w:rPr>
          <w:rFonts w:hint="eastAsia" w:ascii="仿宋_GB2312" w:hAnsi="仿宋" w:eastAsia="仿宋_GB2312" w:cs="Arial"/>
          <w:sz w:val="32"/>
          <w:szCs w:val="32"/>
          <w:lang w:val="en-US" w:eastAsia="zh-CN"/>
        </w:rPr>
        <w:t>直</w:t>
      </w:r>
      <w:r>
        <w:rPr>
          <w:rFonts w:hint="eastAsia" w:ascii="仿宋_GB2312" w:hAnsi="仿宋" w:eastAsia="仿宋_GB2312" w:cs="Arial"/>
          <w:sz w:val="32"/>
          <w:szCs w:val="32"/>
        </w:rPr>
        <w:t>径800mm，共28根，平均桩长31m。</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由于本工程1层土为黄土，主要含粉土，建议设计单位结合扩底桩施工在粉质黄土土层成桩的可行性。下阶段试桩应重点对于扩底成桩效果，以及桩体扩桩上部成孔质量进行检测和复核。</w:t>
      </w:r>
    </w:p>
    <w:p>
      <w:pPr>
        <w:autoSpaceDE w:val="0"/>
        <w:autoSpaceDN w:val="0"/>
        <w:adjustRightInd w:val="0"/>
        <w:snapToGrid w:val="0"/>
        <w:spacing w:line="560" w:lineRule="exact"/>
        <w:ind w:firstLine="640" w:firstLineChars="200"/>
        <w:jc w:val="both"/>
      </w:pPr>
      <w:r>
        <w:rPr>
          <w:rFonts w:hint="eastAsia" w:ascii="仿宋_GB2312" w:hAnsi="仿宋" w:eastAsia="仿宋_GB2312" w:cs="Arial"/>
          <w:sz w:val="32"/>
          <w:szCs w:val="32"/>
        </w:rPr>
        <w:t>（五）</w:t>
      </w:r>
      <w:r>
        <w:rPr>
          <w:rFonts w:hint="eastAsia" w:ascii="仿宋_GB2312" w:hAnsi="仿宋" w:eastAsia="仿宋_GB2312" w:cs="Arial"/>
          <w:sz w:val="32"/>
          <w:szCs w:val="32"/>
          <w:lang w:val="en-US" w:eastAsia="zh-CN"/>
        </w:rPr>
        <w:t>原则</w:t>
      </w:r>
      <w:r>
        <w:rPr>
          <w:rFonts w:hint="eastAsia" w:ascii="仿宋_GB2312" w:hAnsi="仿宋" w:eastAsia="仿宋_GB2312" w:cs="Arial"/>
          <w:sz w:val="32"/>
          <w:szCs w:val="32"/>
        </w:rPr>
        <w:t>同意箱变基础采用C30钢筋混凝土箱式基础。地基需要采用30cm厚度的3:7灰土垫层处理</w:t>
      </w:r>
      <w:r>
        <w:rPr>
          <w:rFonts w:hint="eastAsia" w:ascii="仿宋_GB2312" w:hAnsi="仿宋" w:eastAsia="仿宋_GB2312" w:cs="Arial"/>
          <w:sz w:val="32"/>
          <w:szCs w:val="32"/>
          <w:lang w:eastAsia="zh-CN"/>
        </w:rPr>
        <w:t>，</w:t>
      </w:r>
      <w:r>
        <w:rPr>
          <w:rFonts w:hint="eastAsia" w:ascii="仿宋_GB2312" w:hAnsi="仿宋" w:eastAsia="仿宋_GB2312" w:cs="Arial"/>
          <w:sz w:val="32"/>
          <w:szCs w:val="32"/>
        </w:rPr>
        <w:t>建议针对换填应加大回填厚度。</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六）本工程新建一座110kV升压站，升压站包含生活区及生产区两部分，生产区布置在站区东侧，生活区布置在站区西侧，升压站总占地面积为6700㎡，围墙内占地面积5952㎡，其中生活区布置有生活预制舱、停车位、备品备件间、危废库及地下污水处理设备等；生产区布置有SVG室预制舱、主变压器、二次预制舱、35kV配电装置预制舱、配套接地变、水泵房及消防水池、事故油池及户外配电设备等。</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1． 同意升压站主要建</w:t>
      </w:r>
      <w:r>
        <w:rPr>
          <w:rFonts w:hint="eastAsia" w:ascii="仿宋_GB2312" w:hAnsi="仿宋" w:eastAsia="仿宋_GB2312" w:cs="Arial"/>
          <w:sz w:val="32"/>
          <w:szCs w:val="32"/>
          <w:lang w:eastAsia="zh-CN"/>
        </w:rPr>
        <w:t>（</w:t>
      </w:r>
      <w:r>
        <w:rPr>
          <w:rFonts w:hint="eastAsia" w:ascii="仿宋_GB2312" w:hAnsi="仿宋" w:eastAsia="仿宋_GB2312" w:cs="Arial"/>
          <w:sz w:val="32"/>
          <w:szCs w:val="32"/>
        </w:rPr>
        <w:t>构</w:t>
      </w:r>
      <w:r>
        <w:rPr>
          <w:rFonts w:hint="eastAsia" w:ascii="仿宋_GB2312" w:hAnsi="仿宋" w:eastAsia="仿宋_GB2312" w:cs="Arial"/>
          <w:sz w:val="32"/>
          <w:szCs w:val="32"/>
          <w:lang w:eastAsia="zh-CN"/>
        </w:rPr>
        <w:t>）</w:t>
      </w:r>
      <w:r>
        <w:rPr>
          <w:rFonts w:hint="eastAsia" w:ascii="仿宋_GB2312" w:hAnsi="仿宋" w:eastAsia="仿宋_GB2312" w:cs="Arial"/>
          <w:sz w:val="32"/>
          <w:szCs w:val="32"/>
        </w:rPr>
        <w:t>筑</w:t>
      </w:r>
      <w:r>
        <w:rPr>
          <w:rFonts w:hint="eastAsia" w:ascii="仿宋_GB2312" w:hAnsi="仿宋" w:eastAsia="仿宋_GB2312" w:cs="Arial"/>
          <w:sz w:val="32"/>
          <w:szCs w:val="32"/>
          <w:lang w:val="en-US" w:eastAsia="zh-CN"/>
        </w:rPr>
        <w:t>物</w:t>
      </w:r>
      <w:r>
        <w:rPr>
          <w:rFonts w:hint="eastAsia" w:ascii="仿宋_GB2312" w:hAnsi="仿宋" w:eastAsia="仿宋_GB2312" w:cs="Arial"/>
          <w:sz w:val="32"/>
          <w:szCs w:val="32"/>
        </w:rPr>
        <w:t>地基基础处理方案采用换填方案，电气预制舱、主变、无功补偿设备、消防水池及消防泵房、户外GIS、避雷针等基底换填3m厚3：7灰土，压实系数不小于0.97；其余建</w:t>
      </w:r>
      <w:r>
        <w:rPr>
          <w:rFonts w:hint="eastAsia" w:ascii="仿宋_GB2312" w:hAnsi="仿宋" w:eastAsia="仿宋_GB2312" w:cs="Arial"/>
          <w:sz w:val="32"/>
          <w:szCs w:val="32"/>
          <w:lang w:eastAsia="zh-CN"/>
        </w:rPr>
        <w:t>（</w:t>
      </w:r>
      <w:r>
        <w:rPr>
          <w:rFonts w:hint="eastAsia" w:ascii="仿宋_GB2312" w:hAnsi="仿宋" w:eastAsia="仿宋_GB2312" w:cs="Arial"/>
          <w:sz w:val="32"/>
          <w:szCs w:val="32"/>
        </w:rPr>
        <w:t>构</w:t>
      </w:r>
      <w:r>
        <w:rPr>
          <w:rFonts w:hint="eastAsia" w:ascii="仿宋_GB2312" w:hAnsi="仿宋" w:eastAsia="仿宋_GB2312" w:cs="Arial"/>
          <w:sz w:val="32"/>
          <w:szCs w:val="32"/>
          <w:lang w:eastAsia="zh-CN"/>
        </w:rPr>
        <w:t>）</w:t>
      </w:r>
      <w:r>
        <w:rPr>
          <w:rFonts w:hint="eastAsia" w:ascii="仿宋_GB2312" w:hAnsi="仿宋" w:eastAsia="仿宋_GB2312" w:cs="Arial"/>
          <w:sz w:val="32"/>
          <w:szCs w:val="32"/>
        </w:rPr>
        <w:t>筑物基底换填2.5m厚3：7灰土，压实系数不小于0.97；围墙、电缆沟、道路及室外地坪基底换填1.0m厚3：7灰土，压实系数不小于0.97。</w:t>
      </w:r>
    </w:p>
    <w:p>
      <w:pPr>
        <w:pStyle w:val="21"/>
        <w:snapToGrid w:val="0"/>
        <w:spacing w:line="560" w:lineRule="exact"/>
        <w:ind w:firstLine="640" w:firstLineChars="200"/>
        <w:jc w:val="both"/>
        <w:rPr>
          <w:rFonts w:ascii="仿宋_GB2312" w:hAnsi="仿宋" w:eastAsia="仿宋_GB2312" w:cs="Arial"/>
          <w:sz w:val="32"/>
          <w:szCs w:val="32"/>
        </w:rPr>
      </w:pPr>
      <w:r>
        <w:rPr>
          <w:rFonts w:ascii="仿宋_GB2312" w:hAnsi="仿宋" w:eastAsia="仿宋_GB2312" w:cs="Arial"/>
          <w:sz w:val="32"/>
          <w:szCs w:val="32"/>
        </w:rPr>
        <w:t>升压站</w:t>
      </w:r>
      <w:r>
        <w:rPr>
          <w:rFonts w:hint="eastAsia" w:ascii="仿宋_GB2312" w:hAnsi="仿宋" w:eastAsia="仿宋_GB2312" w:cs="Arial"/>
          <w:sz w:val="32"/>
          <w:szCs w:val="32"/>
          <w:lang w:val="en-US" w:eastAsia="zh-CN"/>
        </w:rPr>
        <w:t>应</w:t>
      </w:r>
      <w:r>
        <w:rPr>
          <w:rFonts w:ascii="仿宋_GB2312" w:hAnsi="仿宋" w:eastAsia="仿宋_GB2312" w:cs="Arial"/>
          <w:sz w:val="32"/>
          <w:szCs w:val="32"/>
        </w:rPr>
        <w:t>依据地形条件</w:t>
      </w:r>
      <w:r>
        <w:rPr>
          <w:rFonts w:hint="eastAsia" w:ascii="仿宋_GB2312" w:hAnsi="仿宋" w:eastAsia="仿宋_GB2312" w:cs="Arial"/>
          <w:sz w:val="32"/>
          <w:szCs w:val="32"/>
        </w:rPr>
        <w:t>采取</w:t>
      </w:r>
      <w:r>
        <w:rPr>
          <w:rFonts w:ascii="仿宋_GB2312" w:hAnsi="仿宋" w:eastAsia="仿宋_GB2312" w:cs="Arial"/>
          <w:sz w:val="32"/>
          <w:szCs w:val="32"/>
        </w:rPr>
        <w:t>必要升压站外的</w:t>
      </w:r>
      <w:r>
        <w:rPr>
          <w:rFonts w:hint="eastAsia" w:ascii="仿宋_GB2312" w:hAnsi="仿宋" w:eastAsia="仿宋_GB2312" w:cs="Arial"/>
          <w:sz w:val="32"/>
          <w:szCs w:val="32"/>
          <w:lang w:val="en-US" w:eastAsia="zh-CN"/>
        </w:rPr>
        <w:t>排</w:t>
      </w:r>
      <w:r>
        <w:rPr>
          <w:rFonts w:ascii="仿宋_GB2312" w:hAnsi="仿宋" w:eastAsia="仿宋_GB2312" w:cs="Arial"/>
          <w:sz w:val="32"/>
          <w:szCs w:val="32"/>
        </w:rPr>
        <w:t>水措施，</w:t>
      </w:r>
      <w:r>
        <w:rPr>
          <w:rFonts w:hint="eastAsia" w:ascii="仿宋_GB2312" w:hAnsi="仿宋" w:eastAsia="仿宋_GB2312" w:cs="Arial"/>
          <w:sz w:val="32"/>
          <w:szCs w:val="32"/>
        </w:rPr>
        <w:t>避免</w:t>
      </w:r>
      <w:r>
        <w:rPr>
          <w:rFonts w:ascii="仿宋_GB2312" w:hAnsi="仿宋" w:eastAsia="仿宋_GB2312" w:cs="Arial"/>
          <w:sz w:val="32"/>
          <w:szCs w:val="32"/>
        </w:rPr>
        <w:t>升压站站外雨水进入站内。</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升压站内应采取有组织排水及相关防水措施，避免站内雨水或其它水渗漏进升压站地下。</w:t>
      </w:r>
    </w:p>
    <w:p>
      <w:pPr>
        <w:pStyle w:val="21"/>
        <w:snapToGrid w:val="0"/>
        <w:spacing w:line="560" w:lineRule="exact"/>
        <w:ind w:firstLine="640" w:firstLineChars="200"/>
        <w:jc w:val="both"/>
        <w:rPr>
          <w:rFonts w:ascii="仿宋_GB2312" w:hAnsi="仿宋" w:eastAsia="仿宋_GB2312" w:cs="Arial"/>
          <w:sz w:val="32"/>
          <w:szCs w:val="32"/>
        </w:rPr>
      </w:pPr>
      <w:r>
        <w:rPr>
          <w:rFonts w:hint="eastAsia" w:ascii="仿宋_GB2312" w:hAnsi="仿宋" w:eastAsia="仿宋_GB2312" w:cs="Arial"/>
          <w:sz w:val="32"/>
          <w:szCs w:val="32"/>
        </w:rPr>
        <w:t>2. 同意预制舱基础采用箱型基础，主变基础为钢筋混凝土基础，支架基础采用钢筋混凝土独立基础，埋深约1.60m。事故油池为钢筋混凝土结构。</w:t>
      </w:r>
    </w:p>
    <w:p>
      <w:pPr>
        <w:pStyle w:val="21"/>
        <w:snapToGrid w:val="0"/>
        <w:spacing w:line="560" w:lineRule="exact"/>
        <w:ind w:firstLine="640" w:firstLineChars="200"/>
        <w:jc w:val="both"/>
      </w:pPr>
      <w:r>
        <w:rPr>
          <w:rFonts w:hint="eastAsia" w:ascii="仿宋_GB2312" w:hAnsi="仿宋" w:eastAsia="仿宋_GB2312" w:cs="Arial"/>
          <w:sz w:val="32"/>
          <w:szCs w:val="32"/>
        </w:rPr>
        <w:t>3. 同意出线构架拟采用φ300×6钢管人字柱，构架横梁采用φ400×12钢管梁。构架基础采用钢筋混凝土独立基础，埋深约2.5m。</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rPr>
        <w:t>八</w:t>
      </w:r>
      <w:r>
        <w:rPr>
          <w:rFonts w:ascii="黑体" w:hAnsi="黑体" w:eastAsia="黑体" w:cs="黑体"/>
          <w:b w:val="0"/>
          <w:sz w:val="32"/>
          <w:szCs w:val="32"/>
        </w:rPr>
        <w:t>、施工组织</w:t>
      </w:r>
      <w:r>
        <w:rPr>
          <w:rFonts w:hint="eastAsia" w:ascii="黑体" w:hAnsi="黑体" w:eastAsia="黑体" w:cs="黑体"/>
          <w:b w:val="0"/>
          <w:sz w:val="32"/>
          <w:szCs w:val="32"/>
        </w:rPr>
        <w:t>及道路</w:t>
      </w:r>
      <w:r>
        <w:rPr>
          <w:rFonts w:ascii="黑体" w:hAnsi="黑体" w:eastAsia="黑体" w:cs="黑体"/>
          <w:b w:val="0"/>
          <w:sz w:val="32"/>
          <w:szCs w:val="32"/>
        </w:rPr>
        <w:t>部分</w:t>
      </w:r>
    </w:p>
    <w:p>
      <w:pPr>
        <w:autoSpaceDE w:val="0"/>
        <w:autoSpaceDN w:val="0"/>
        <w:adjustRightInd w:val="0"/>
        <w:snapToGrid w:val="0"/>
        <w:spacing w:line="56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Times New Roman"/>
          <w:sz w:val="32"/>
          <w:szCs w:val="32"/>
        </w:rPr>
        <w:t>（一）施工用电、用水</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 本工程施工用电</w:t>
      </w:r>
      <w:r>
        <w:rPr>
          <w:rFonts w:ascii="仿宋_GB2312" w:hAnsi="仿宋_GB2312" w:eastAsia="仿宋_GB2312"/>
          <w:sz w:val="32"/>
          <w:szCs w:val="32"/>
        </w:rPr>
        <w:t>引接自附近村庄的10kV线路</w:t>
      </w:r>
      <w:r>
        <w:rPr>
          <w:rFonts w:hint="eastAsia" w:ascii="仿宋_GB2312" w:hAnsi="仿宋_GB2312" w:eastAsia="仿宋_GB2312"/>
          <w:sz w:val="32"/>
          <w:szCs w:val="32"/>
        </w:rPr>
        <w:t>，距离约为</w:t>
      </w:r>
      <w:r>
        <w:rPr>
          <w:rFonts w:ascii="仿宋_GB2312" w:hAnsi="仿宋_GB2312" w:eastAsia="仿宋_GB2312"/>
          <w:sz w:val="32"/>
          <w:szCs w:val="32"/>
        </w:rPr>
        <w:t>8</w:t>
      </w:r>
      <w:r>
        <w:rPr>
          <w:rFonts w:hint="eastAsia" w:ascii="仿宋_GB2312" w:hAnsi="仿宋_GB2312" w:eastAsia="仿宋_GB2312"/>
          <w:sz w:val="32"/>
          <w:szCs w:val="32"/>
        </w:rPr>
        <w:t>km</w:t>
      </w:r>
      <w:r>
        <w:rPr>
          <w:rFonts w:ascii="仿宋_GB2312" w:hAnsi="仿宋_GB2312" w:eastAsia="仿宋_GB2312"/>
          <w:sz w:val="32"/>
          <w:szCs w:val="32"/>
        </w:rPr>
        <w:t>。</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2. 本工程施工用水采用附近村庄水车拉水方式</w:t>
      </w:r>
      <w:r>
        <w:rPr>
          <w:rFonts w:ascii="仿宋_GB2312" w:hAnsi="仿宋_GB2312" w:eastAsia="仿宋_GB2312"/>
          <w:sz w:val="32"/>
          <w:szCs w:val="32"/>
        </w:rPr>
        <w:t>。</w:t>
      </w:r>
    </w:p>
    <w:p>
      <w:pPr>
        <w:pStyle w:val="21"/>
        <w:snapToGrid w:val="0"/>
        <w:spacing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（二）施工吊装</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 本工程吊装平台</w:t>
      </w:r>
      <w:r>
        <w:rPr>
          <w:rFonts w:hint="eastAsia" w:ascii="仿宋_GB2312" w:hAnsi="仿宋" w:eastAsia="仿宋_GB2312" w:cs="Arial"/>
          <w:sz w:val="32"/>
          <w:szCs w:val="32"/>
        </w:rPr>
        <w:t>有效</w:t>
      </w:r>
      <w:r>
        <w:rPr>
          <w:rFonts w:hint="eastAsia" w:ascii="仿宋_GB2312" w:hAnsi="仿宋_GB2312" w:eastAsia="仿宋_GB2312"/>
          <w:sz w:val="32"/>
          <w:szCs w:val="32"/>
        </w:rPr>
        <w:t>利用面积按照不大于2</w:t>
      </w:r>
      <w:r>
        <w:rPr>
          <w:rFonts w:ascii="仿宋_GB2312" w:hAnsi="仿宋_GB2312" w:eastAsia="仿宋_GB2312"/>
          <w:sz w:val="32"/>
          <w:szCs w:val="32"/>
        </w:rPr>
        <w:t>4</w:t>
      </w:r>
      <w:r>
        <w:rPr>
          <w:rFonts w:hint="eastAsia" w:ascii="仿宋_GB2312" w:hAnsi="仿宋_GB2312" w:eastAsia="仿宋_GB2312"/>
          <w:sz w:val="32"/>
          <w:szCs w:val="32"/>
        </w:rPr>
        <w:t>00m</w:t>
      </w:r>
      <w:r>
        <w:rPr>
          <w:rFonts w:hint="eastAsia" w:ascii="仿宋_GB2312" w:hAnsi="仿宋_GB2312" w:eastAsia="仿宋_GB2312"/>
          <w:sz w:val="32"/>
          <w:szCs w:val="32"/>
          <w:vertAlign w:val="superscript"/>
        </w:rPr>
        <w:t>2</w:t>
      </w:r>
      <w:r>
        <w:rPr>
          <w:rFonts w:hint="eastAsia" w:ascii="仿宋_GB2312" w:hAnsi="仿宋_GB2312" w:eastAsia="仿宋_GB2312"/>
          <w:sz w:val="32"/>
          <w:szCs w:val="32"/>
        </w:rPr>
        <w:t>考虑。</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 xml:space="preserve">2. </w:t>
      </w:r>
      <w:r>
        <w:rPr>
          <w:rFonts w:ascii="仿宋_GB2312" w:hAnsi="仿宋_GB2312" w:eastAsia="仿宋_GB2312"/>
          <w:sz w:val="32"/>
          <w:szCs w:val="32"/>
        </w:rPr>
        <w:t>本工程采用1台</w:t>
      </w:r>
      <w:r>
        <w:rPr>
          <w:rFonts w:ascii="仿宋_GB2312" w:hAnsi="仿宋" w:eastAsia="仿宋_GB2312" w:cs="Arial"/>
          <w:sz w:val="32"/>
          <w:szCs w:val="32"/>
        </w:rPr>
        <w:t>1000t</w:t>
      </w:r>
      <w:r>
        <w:rPr>
          <w:rFonts w:ascii="仿宋_GB2312" w:hAnsi="仿宋_GB2312" w:eastAsia="仿宋_GB2312"/>
          <w:sz w:val="32"/>
          <w:szCs w:val="32"/>
        </w:rPr>
        <w:t>的</w:t>
      </w:r>
      <w:r>
        <w:rPr>
          <w:rFonts w:hint="eastAsia" w:ascii="仿宋_GB2312" w:hAnsi="仿宋_GB2312" w:eastAsia="仿宋_GB2312"/>
          <w:sz w:val="32"/>
          <w:szCs w:val="32"/>
        </w:rPr>
        <w:t>汽车吊作为安装主吊，</w:t>
      </w:r>
      <w:r>
        <w:rPr>
          <w:rFonts w:ascii="仿宋_GB2312" w:hAnsi="仿宋_GB2312" w:eastAsia="仿宋_GB2312"/>
          <w:sz w:val="32"/>
          <w:szCs w:val="32"/>
        </w:rPr>
        <w:t>2</w:t>
      </w:r>
      <w:r>
        <w:rPr>
          <w:rFonts w:hint="eastAsia" w:ascii="仿宋_GB2312" w:hAnsi="仿宋_GB2312" w:eastAsia="仿宋_GB2312"/>
          <w:sz w:val="32"/>
          <w:szCs w:val="32"/>
        </w:rPr>
        <w:t>00t的吊车（履带吊或汽车吊）</w:t>
      </w:r>
      <w:r>
        <w:rPr>
          <w:rFonts w:hint="eastAsia" w:ascii="仿宋_GB2312" w:hAnsi="仿宋" w:eastAsia="仿宋_GB2312" w:cs="Arial"/>
          <w:sz w:val="32"/>
          <w:szCs w:val="32"/>
        </w:rPr>
        <w:t>作为</w:t>
      </w:r>
      <w:r>
        <w:rPr>
          <w:rFonts w:hint="eastAsia" w:ascii="仿宋_GB2312" w:hAnsi="仿宋_GB2312" w:eastAsia="仿宋_GB2312"/>
          <w:sz w:val="32"/>
          <w:szCs w:val="32"/>
        </w:rPr>
        <w:t>安装辅吊。</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（三）土石方平衡</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w:t>
      </w:r>
      <w:r>
        <w:rPr>
          <w:rFonts w:ascii="仿宋_GB2312" w:hAnsi="仿宋_GB2312" w:eastAsia="仿宋_GB2312"/>
          <w:sz w:val="32"/>
          <w:szCs w:val="32"/>
        </w:rPr>
        <w:t xml:space="preserve">. </w:t>
      </w:r>
      <w:r>
        <w:rPr>
          <w:rFonts w:hint="eastAsia" w:ascii="仿宋_GB2312" w:hAnsi="仿宋_GB2312" w:eastAsia="仿宋_GB2312"/>
          <w:sz w:val="32"/>
          <w:szCs w:val="32"/>
        </w:rPr>
        <w:t>本工程已完成编制</w:t>
      </w:r>
      <w:r>
        <w:rPr>
          <w:rFonts w:hint="eastAsia" w:ascii="仿宋_GB2312" w:hAnsi="仿宋" w:eastAsia="仿宋_GB2312" w:cs="Arial"/>
          <w:sz w:val="32"/>
          <w:szCs w:val="32"/>
        </w:rPr>
        <w:t>水土</w:t>
      </w:r>
      <w:r>
        <w:rPr>
          <w:rFonts w:hint="eastAsia" w:ascii="仿宋_GB2312" w:hAnsi="仿宋_GB2312" w:eastAsia="仿宋_GB2312"/>
          <w:sz w:val="32"/>
          <w:szCs w:val="32"/>
        </w:rPr>
        <w:t>保持专题报告，暂未取得水保批复。</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2. 本工程总挖方量为143.5448万方，总回填工程量为143.5698万方，借方0.025万方。土石方平衡方案和水保专题方案一致。</w:t>
      </w:r>
    </w:p>
    <w:p>
      <w:pPr>
        <w:autoSpaceDE w:val="0"/>
        <w:autoSpaceDN w:val="0"/>
        <w:adjustRightInd w:val="0"/>
        <w:snapToGrid w:val="0"/>
        <w:spacing w:line="560" w:lineRule="exact"/>
        <w:ind w:firstLine="320" w:firstLineChars="100"/>
        <w:rPr>
          <w:rFonts w:ascii="仿宋_GB2312" w:hAnsi="仿宋_GB2312" w:eastAsia="仿宋_GB2312" w:cs="Times New Roman"/>
          <w:sz w:val="32"/>
          <w:szCs w:val="32"/>
        </w:rPr>
      </w:pPr>
      <w:r>
        <w:rPr>
          <w:rFonts w:hint="eastAsia" w:ascii="仿宋_GB2312" w:hAnsi="仿宋_GB2312" w:eastAsia="仿宋_GB2312" w:cs="Times New Roman"/>
          <w:sz w:val="32"/>
          <w:szCs w:val="32"/>
          <w:lang w:val="en-US" w:eastAsia="zh-CN"/>
        </w:rPr>
        <w:t xml:space="preserve">  </w:t>
      </w:r>
      <w:r>
        <w:rPr>
          <w:rFonts w:hint="eastAsia" w:ascii="仿宋_GB2312" w:hAnsi="仿宋_GB2312" w:eastAsia="仿宋_GB2312" w:cs="Times New Roman"/>
          <w:sz w:val="32"/>
          <w:szCs w:val="32"/>
        </w:rPr>
        <w:t>（四）道路</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1. 对外交通</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本工程场外交通运输采用公路运输，经青银高速（靖边西收费站，下高速后有设置转运场条件）</w:t>
      </w:r>
      <w:r>
        <w:rPr>
          <w:rFonts w:ascii="仿宋_GB2312" w:hAnsi="仿宋_GB2312" w:eastAsia="仿宋_GB2312"/>
          <w:sz w:val="32"/>
          <w:szCs w:val="32"/>
        </w:rPr>
        <w:t>—</w:t>
      </w:r>
      <w:r>
        <w:rPr>
          <w:rFonts w:hint="eastAsia" w:ascii="仿宋_GB2312" w:hAnsi="仿宋_GB2312" w:eastAsia="仿宋_GB2312"/>
          <w:sz w:val="32"/>
          <w:szCs w:val="32"/>
        </w:rPr>
        <w:t>S106省道—靖志路及大闫路，满足大件设备运输要求。</w:t>
      </w:r>
    </w:p>
    <w:p>
      <w:pPr>
        <w:autoSpaceDE w:val="0"/>
        <w:autoSpaceDN w:val="0"/>
        <w:adjustRightInd w:val="0"/>
        <w:snapToGrid w:val="0"/>
        <w:spacing w:line="56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Times New Roman"/>
          <w:sz w:val="32"/>
          <w:szCs w:val="32"/>
        </w:rPr>
        <w:t>2. 进场道路</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本工程进场道路改扩建长度2.35km，采用泥结碎石路面，施工期</w:t>
      </w:r>
      <w:r>
        <w:rPr>
          <w:rFonts w:hint="eastAsia" w:ascii="仿宋_GB2312" w:hAnsi="仿宋_GB2312" w:eastAsia="仿宋_GB2312" w:cs="仿宋_GB2312"/>
          <w:sz w:val="32"/>
          <w:szCs w:val="32"/>
        </w:rPr>
        <w:t>按路面4.5m，路基5.</w:t>
      </w:r>
      <w:r>
        <w:rPr>
          <w:rFonts w:hint="eastAsia" w:ascii="仿宋_GB2312" w:hAnsi="仿宋" w:eastAsia="仿宋_GB2312" w:cs="Arial"/>
          <w:sz w:val="32"/>
          <w:szCs w:val="32"/>
        </w:rPr>
        <w:t>5m</w:t>
      </w:r>
      <w:r>
        <w:rPr>
          <w:rFonts w:hint="eastAsia" w:ascii="仿宋_GB2312" w:hAnsi="仿宋_GB2312" w:eastAsia="仿宋_GB2312" w:cs="仿宋_GB2312"/>
          <w:sz w:val="32"/>
          <w:szCs w:val="32"/>
        </w:rPr>
        <w:t>考虑。施工完成后复原场内检修道路，按路面3.5m，路基4.5m考虑。</w:t>
      </w:r>
    </w:p>
    <w:p>
      <w:pPr>
        <w:autoSpaceDE w:val="0"/>
        <w:autoSpaceDN w:val="0"/>
        <w:adjustRightInd w:val="0"/>
        <w:snapToGrid w:val="0"/>
        <w:spacing w:line="56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Times New Roman"/>
          <w:sz w:val="32"/>
          <w:szCs w:val="32"/>
        </w:rPr>
        <w:t>3. 场内检修道路</w:t>
      </w:r>
    </w:p>
    <w:p>
      <w:pPr>
        <w:pStyle w:val="21"/>
        <w:snapToGrid w:val="0"/>
        <w:spacing w:line="560" w:lineRule="exact"/>
        <w:ind w:firstLine="640" w:firstLineChars="200"/>
        <w:jc w:val="both"/>
        <w:rPr>
          <w:rFonts w:ascii="仿宋_GB2312" w:hAnsi="仿宋_GB2312" w:eastAsia="仿宋_GB2312" w:cs="仿宋_GB2312"/>
          <w:sz w:val="32"/>
          <w:szCs w:val="32"/>
          <w:highlight w:val="yellow"/>
        </w:rPr>
      </w:pPr>
      <w:r>
        <w:rPr>
          <w:rFonts w:hint="eastAsia" w:ascii="仿宋_GB2312" w:hAnsi="仿宋_GB2312" w:eastAsia="仿宋_GB2312"/>
          <w:sz w:val="32"/>
          <w:szCs w:val="32"/>
        </w:rPr>
        <w:t>本工程</w:t>
      </w:r>
      <w:r>
        <w:rPr>
          <w:rFonts w:hint="eastAsia" w:ascii="仿宋_GB2312" w:hAnsi="仿宋_GB2312" w:eastAsia="仿宋_GB2312" w:cs="仿宋_GB2312"/>
          <w:sz w:val="32"/>
          <w:szCs w:val="32"/>
        </w:rPr>
        <w:t>场内道路总长</w:t>
      </w:r>
      <w:r>
        <w:rPr>
          <w:rFonts w:hint="eastAsia" w:ascii="仿宋_GB2312" w:hAnsi="仿宋" w:eastAsia="仿宋_GB2312" w:cs="Arial"/>
          <w:sz w:val="32"/>
          <w:szCs w:val="32"/>
        </w:rPr>
        <w:t>122</w:t>
      </w:r>
      <w:r>
        <w:rPr>
          <w:rFonts w:hint="eastAsia" w:ascii="仿宋_GB2312" w:hAnsi="仿宋_GB2312" w:eastAsia="仿宋_GB2312" w:cs="仿宋_GB2312"/>
          <w:sz w:val="32"/>
          <w:szCs w:val="32"/>
        </w:rPr>
        <w:t>.8km，新建道路23.1km，改建道路99.7km。施工期铺设20cm厚泥结碎石路面，对于软弱路基采用30cm</w:t>
      </w:r>
      <w:r>
        <w:rPr>
          <w:rFonts w:hint="eastAsia" w:ascii="仿宋_GB2312" w:hAnsi="仿宋_GB2312" w:eastAsia="仿宋_GB2312"/>
          <w:sz w:val="32"/>
          <w:szCs w:val="32"/>
        </w:rPr>
        <w:t>～</w:t>
      </w:r>
      <w:r>
        <w:rPr>
          <w:rFonts w:hint="eastAsia" w:ascii="仿宋_GB2312" w:hAnsi="仿宋_GB2312" w:eastAsia="仿宋_GB2312" w:cs="仿宋_GB2312"/>
          <w:sz w:val="32"/>
          <w:szCs w:val="32"/>
        </w:rPr>
        <w:t>50cm厚</w:t>
      </w:r>
      <w:r>
        <w:rPr>
          <w:rFonts w:hint="eastAsia" w:ascii="仿宋_GB2312" w:hAnsi="仿宋" w:eastAsia="仿宋_GB2312" w:cs="Arial"/>
          <w:sz w:val="32"/>
          <w:szCs w:val="32"/>
        </w:rPr>
        <w:t>砂砾</w:t>
      </w:r>
      <w:r>
        <w:rPr>
          <w:rFonts w:hint="eastAsia" w:ascii="仿宋_GB2312" w:hAnsi="仿宋_GB2312" w:eastAsia="仿宋_GB2312" w:cs="仿宋_GB2312"/>
          <w:sz w:val="32"/>
          <w:szCs w:val="32"/>
        </w:rPr>
        <w:t>石进行地基处理压实，按路面4.5m，路基5.5m考虑。风电场施工完成后复原场内检修道路，按路面3.5m，路基4.5m考虑。</w:t>
      </w:r>
    </w:p>
    <w:p>
      <w:pPr>
        <w:autoSpaceDE w:val="0"/>
        <w:autoSpaceDN w:val="0"/>
        <w:adjustRightInd w:val="0"/>
        <w:snapToGrid w:val="0"/>
        <w:spacing w:line="56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Times New Roman"/>
          <w:sz w:val="32"/>
          <w:szCs w:val="32"/>
        </w:rPr>
        <w:t>4. 进站道路</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cs="仿宋_GB2312"/>
          <w:sz w:val="32"/>
          <w:szCs w:val="32"/>
        </w:rPr>
        <w:t>本工程进站道路长约0.02km，采用混凝土路面，按路基6m，路面4m考虑</w:t>
      </w:r>
      <w:r>
        <w:rPr>
          <w:rFonts w:hint="eastAsia" w:ascii="仿宋_GB2312" w:hAnsi="仿宋_GB2312" w:eastAsia="仿宋_GB2312"/>
          <w:sz w:val="32"/>
          <w:szCs w:val="32"/>
        </w:rPr>
        <w:t>。</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（五）用地</w:t>
      </w:r>
    </w:p>
    <w:p>
      <w:pPr>
        <w:pStyle w:val="21"/>
        <w:snapToGrid w:val="0"/>
        <w:spacing w:line="560" w:lineRule="exact"/>
        <w:ind w:firstLine="640" w:firstLineChars="200"/>
        <w:jc w:val="both"/>
        <w:rPr>
          <w:rFonts w:hAnsi="宋体" w:cs="宋体"/>
        </w:rPr>
      </w:pPr>
      <w:r>
        <w:rPr>
          <w:rFonts w:ascii="仿宋_GB2312" w:hAnsi="仿宋_GB2312" w:eastAsia="仿宋_GB2312"/>
          <w:sz w:val="32"/>
          <w:szCs w:val="32"/>
        </w:rPr>
        <w:t>1.</w:t>
      </w:r>
      <w:r>
        <w:rPr>
          <w:rFonts w:hint="eastAsia" w:ascii="仿宋_GB2312" w:hAnsi="仿宋_GB2312" w:eastAsia="仿宋_GB2312"/>
          <w:sz w:val="32"/>
          <w:szCs w:val="32"/>
        </w:rPr>
        <w:t xml:space="preserve"> 本工</w:t>
      </w:r>
      <w:r>
        <w:rPr>
          <w:rFonts w:hint="eastAsia" w:ascii="仿宋_GB2312" w:hAnsi="仿宋_GB2312" w:eastAsia="仿宋_GB2312" w:cs="仿宋_GB2312"/>
          <w:sz w:val="32"/>
          <w:szCs w:val="32"/>
        </w:rPr>
        <w:t>程永久用地暂按</w:t>
      </w:r>
      <w:r>
        <w:rPr>
          <w:rFonts w:hint="eastAsia" w:ascii="仿宋_GB2312" w:hAnsi="仿宋_GB2312" w:eastAsia="仿宋_GB2312" w:cs="仿宋_GB2312"/>
          <w:sz w:val="32"/>
          <w:szCs w:val="32"/>
          <w:lang w:bidi="ar"/>
        </w:rPr>
        <w:t>45.6亩</w:t>
      </w:r>
      <w:r>
        <w:rPr>
          <w:rFonts w:hint="eastAsia" w:ascii="仿宋" w:hAnsi="仿宋" w:eastAsia="仿宋" w:cs="仿宋"/>
          <w:sz w:val="32"/>
          <w:szCs w:val="32"/>
          <w:lang w:bidi="ar"/>
        </w:rPr>
        <w:t>考虑。</w:t>
      </w:r>
    </w:p>
    <w:p>
      <w:pPr>
        <w:pStyle w:val="21"/>
        <w:snapToGrid w:val="0"/>
        <w:spacing w:line="560" w:lineRule="exact"/>
        <w:ind w:firstLine="640" w:firstLineChars="200"/>
        <w:jc w:val="both"/>
        <w:rPr>
          <w:rFonts w:ascii="仿宋_GB2312" w:hAnsi="仿宋_GB2312" w:eastAsia="仿宋_GB2312"/>
          <w:sz w:val="32"/>
          <w:szCs w:val="32"/>
        </w:rPr>
      </w:pPr>
      <w:r>
        <w:rPr>
          <w:rFonts w:hint="eastAsia" w:ascii="仿宋_GB2312" w:hAnsi="仿宋_GB2312" w:eastAsia="仿宋_GB2312"/>
          <w:sz w:val="32"/>
          <w:szCs w:val="32"/>
        </w:rPr>
        <w:t>2. 本工程用地面积和单价见下表。</w:t>
      </w:r>
    </w:p>
    <w:tbl>
      <w:tblPr>
        <w:tblStyle w:val="18"/>
        <w:tblW w:w="8803" w:type="dxa"/>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
      <w:tblGrid>
        <w:gridCol w:w="795"/>
        <w:gridCol w:w="1236"/>
        <w:gridCol w:w="1720"/>
        <w:gridCol w:w="698"/>
        <w:gridCol w:w="1042"/>
        <w:gridCol w:w="1753"/>
        <w:gridCol w:w="1559"/>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385" w:hRule="atLeast"/>
          <w:tblHeader/>
        </w:trPr>
        <w:tc>
          <w:tcPr>
            <w:tcW w:w="795" w:type="dxa"/>
            <w:tcBorders>
              <w:top w:val="single" w:color="auto" w:sz="4"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序号</w:t>
            </w:r>
          </w:p>
        </w:tc>
        <w:tc>
          <w:tcPr>
            <w:tcW w:w="1236" w:type="dxa"/>
            <w:tcBorders>
              <w:top w:val="single" w:color="auto" w:sz="4"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项目</w:t>
            </w:r>
          </w:p>
        </w:tc>
        <w:tc>
          <w:tcPr>
            <w:tcW w:w="1720" w:type="dxa"/>
            <w:tcBorders>
              <w:top w:val="single" w:color="auto" w:sz="4"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分项</w:t>
            </w:r>
          </w:p>
        </w:tc>
        <w:tc>
          <w:tcPr>
            <w:tcW w:w="698" w:type="dxa"/>
            <w:tcBorders>
              <w:top w:val="single" w:color="auto" w:sz="4"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单位</w:t>
            </w:r>
          </w:p>
        </w:tc>
        <w:tc>
          <w:tcPr>
            <w:tcW w:w="1042" w:type="dxa"/>
            <w:tcBorders>
              <w:top w:val="single" w:color="auto" w:sz="4"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工程量</w:t>
            </w:r>
          </w:p>
        </w:tc>
        <w:tc>
          <w:tcPr>
            <w:tcW w:w="1753" w:type="dxa"/>
            <w:tcBorders>
              <w:top w:val="single" w:color="auto" w:sz="4"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备注</w:t>
            </w:r>
          </w:p>
        </w:tc>
        <w:tc>
          <w:tcPr>
            <w:tcW w:w="1559" w:type="dxa"/>
            <w:tcBorders>
              <w:top w:val="single" w:color="auto" w:sz="4" w:space="0"/>
              <w:left w:val="single" w:color="auto" w:sz="6" w:space="0"/>
              <w:bottom w:val="single" w:color="auto" w:sz="6" w:space="0"/>
              <w:right w:val="single" w:color="auto" w:sz="4" w:space="0"/>
            </w:tcBorders>
            <w:shd w:val="clear" w:color="auto" w:fill="FFFFFF"/>
            <w:vAlign w:val="center"/>
          </w:tcPr>
          <w:p>
            <w:pPr>
              <w:adjustRightInd w:val="0"/>
              <w:snapToGrid w:val="0"/>
              <w:spacing w:line="240" w:lineRule="exact"/>
              <w:jc w:val="center"/>
              <w:rPr>
                <w:rFonts w:ascii="仿宋_GB2312" w:hAnsi="仿宋_GB2312" w:eastAsia="仿宋_GB2312" w:cs="仿宋_GB2312"/>
                <w:b/>
                <w:bCs/>
                <w:szCs w:val="21"/>
              </w:rPr>
            </w:pPr>
            <w:r>
              <w:rPr>
                <w:rFonts w:hint="eastAsia" w:ascii="仿宋_GB2312" w:hAnsi="仿宋_GB2312" w:eastAsia="仿宋_GB2312" w:cs="仿宋_GB2312"/>
                <w:b/>
                <w:bCs/>
                <w:szCs w:val="21"/>
              </w:rPr>
              <w:t>单价</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永久征地</w:t>
            </w: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30399</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ascii="仿宋_GB2312" w:hAnsi="仿宋_GB2312" w:eastAsia="仿宋_GB2312" w:cs="仿宋_GB2312"/>
                <w:szCs w:val="21"/>
              </w:rPr>
              <w:t>45.6</w:t>
            </w:r>
            <w:r>
              <w:rPr>
                <w:rFonts w:hint="eastAsia" w:ascii="仿宋_GB2312" w:hAnsi="仿宋_GB2312" w:eastAsia="仿宋_GB2312" w:cs="仿宋_GB2312"/>
                <w:szCs w:val="21"/>
              </w:rPr>
              <w:t>亩</w:t>
            </w:r>
          </w:p>
        </w:tc>
        <w:tc>
          <w:tcPr>
            <w:tcW w:w="1559" w:type="dxa"/>
            <w:tcBorders>
              <w:top w:val="single" w:color="auto" w:sz="6" w:space="0"/>
              <w:left w:val="single" w:color="auto" w:sz="6" w:space="0"/>
              <w:bottom w:val="single" w:color="auto" w:sz="6" w:space="0"/>
              <w:right w:val="single" w:color="auto" w:sz="4"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1.1</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风电机组基础</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 xml:space="preserve">8695 </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restart"/>
            <w:tcBorders>
              <w:top w:val="single" w:color="auto" w:sz="6" w:space="0"/>
              <w:left w:val="single" w:color="auto" w:sz="6" w:space="0"/>
              <w:bottom w:val="single" w:color="auto" w:sz="6" w:space="0"/>
              <w:right w:val="single" w:color="auto" w:sz="4"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10.12万元/亩</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1.2</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箱变基础</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1200</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1.3</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110kV升压站</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9800</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1.4</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集电线路杆塔征地</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10584</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1.5</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进站道路</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120</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2</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临时用地</w:t>
            </w: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416001</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6</w:t>
            </w:r>
            <w:r>
              <w:rPr>
                <w:rFonts w:ascii="仿宋_GB2312" w:hAnsi="仿宋_GB2312" w:eastAsia="仿宋_GB2312" w:cs="仿宋_GB2312"/>
                <w:szCs w:val="21"/>
              </w:rPr>
              <w:t>24.0</w:t>
            </w:r>
            <w:r>
              <w:rPr>
                <w:rFonts w:hint="eastAsia" w:ascii="仿宋_GB2312" w:hAnsi="仿宋_GB2312" w:eastAsia="仿宋_GB2312" w:cs="仿宋_GB2312"/>
                <w:szCs w:val="21"/>
              </w:rPr>
              <w:t>亩</w:t>
            </w:r>
          </w:p>
        </w:tc>
        <w:tc>
          <w:tcPr>
            <w:tcW w:w="1559" w:type="dxa"/>
            <w:vMerge w:val="restart"/>
            <w:tcBorders>
              <w:top w:val="single" w:color="auto" w:sz="6" w:space="0"/>
              <w:left w:val="single" w:color="auto" w:sz="6" w:space="0"/>
              <w:bottom w:val="single" w:color="auto" w:sz="6" w:space="0"/>
              <w:right w:val="single" w:color="auto" w:sz="4"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1300元/亩/年</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2.1</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吊装平台</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91501</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2.2</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临时施工道路</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314900</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2.3</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生活临建</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9600</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3</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长期租地</w:t>
            </w: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107883</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ascii="仿宋_GB2312" w:hAnsi="仿宋_GB2312" w:eastAsia="仿宋_GB2312" w:cs="仿宋_GB2312"/>
                <w:szCs w:val="21"/>
              </w:rPr>
              <w:t>161.8</w:t>
            </w:r>
            <w:r>
              <w:rPr>
                <w:rFonts w:hint="eastAsia" w:ascii="仿宋_GB2312" w:hAnsi="仿宋_GB2312" w:eastAsia="仿宋_GB2312" w:cs="仿宋_GB2312"/>
                <w:szCs w:val="21"/>
              </w:rPr>
              <w:t>亩</w:t>
            </w:r>
          </w:p>
        </w:tc>
        <w:tc>
          <w:tcPr>
            <w:tcW w:w="1559" w:type="dxa"/>
            <w:vMerge w:val="restart"/>
            <w:tcBorders>
              <w:top w:val="single" w:color="auto" w:sz="6" w:space="0"/>
              <w:left w:val="single" w:color="auto" w:sz="6" w:space="0"/>
              <w:bottom w:val="single" w:color="auto" w:sz="8" w:space="0"/>
              <w:right w:val="single" w:color="auto" w:sz="4"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1300元/亩/年</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3.1</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电缆直埋征地(宽1m）</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 xml:space="preserve">2373 </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8"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3.2</w:t>
            </w:r>
          </w:p>
        </w:tc>
        <w:tc>
          <w:tcPr>
            <w:tcW w:w="1236"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场内永久道路（宽4m）</w:t>
            </w:r>
          </w:p>
        </w:tc>
        <w:tc>
          <w:tcPr>
            <w:tcW w:w="698"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103950</w:t>
            </w:r>
          </w:p>
        </w:tc>
        <w:tc>
          <w:tcPr>
            <w:tcW w:w="1753" w:type="dxa"/>
            <w:tcBorders>
              <w:top w:val="single" w:color="auto" w:sz="6" w:space="0"/>
              <w:left w:val="single" w:color="auto" w:sz="6" w:space="0"/>
              <w:bottom w:val="single" w:color="auto" w:sz="6"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vMerge w:val="continue"/>
            <w:tcBorders>
              <w:top w:val="single" w:color="auto" w:sz="6" w:space="0"/>
              <w:left w:val="single" w:color="auto" w:sz="6" w:space="0"/>
              <w:bottom w:val="single" w:color="auto" w:sz="6" w:space="0"/>
              <w:right w:val="single" w:color="auto" w:sz="4" w:space="0"/>
            </w:tcBorders>
            <w:shd w:val="clear" w:color="auto" w:fill="FFFFFF"/>
            <w:vAlign w:val="center"/>
          </w:tcPr>
          <w:p>
            <w:pPr>
              <w:rPr>
                <w:rFonts w:ascii="仿宋_GB2312" w:hAnsi="仿宋_GB2312" w:eastAsia="仿宋_GB2312" w:cs="仿宋_GB2312"/>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3" w:hRule="atLeast"/>
        </w:trPr>
        <w:tc>
          <w:tcPr>
            <w:tcW w:w="795" w:type="dxa"/>
            <w:tcBorders>
              <w:top w:val="single" w:color="auto" w:sz="6" w:space="0"/>
              <w:left w:val="single" w:color="auto" w:sz="4" w:space="0"/>
              <w:bottom w:val="single" w:color="auto" w:sz="4"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236" w:type="dxa"/>
            <w:tcBorders>
              <w:top w:val="single" w:color="auto" w:sz="6" w:space="0"/>
              <w:left w:val="single" w:color="auto" w:sz="6" w:space="0"/>
              <w:bottom w:val="single" w:color="auto" w:sz="4"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720" w:type="dxa"/>
            <w:tcBorders>
              <w:top w:val="single" w:color="auto" w:sz="6" w:space="0"/>
              <w:left w:val="single" w:color="auto" w:sz="6" w:space="0"/>
              <w:bottom w:val="single" w:color="auto" w:sz="4"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非硬化进站道路</w:t>
            </w:r>
          </w:p>
        </w:tc>
        <w:tc>
          <w:tcPr>
            <w:tcW w:w="698" w:type="dxa"/>
            <w:tcBorders>
              <w:top w:val="single" w:color="auto" w:sz="6" w:space="0"/>
              <w:left w:val="single" w:color="auto" w:sz="6" w:space="0"/>
              <w:bottom w:val="single" w:color="auto" w:sz="4"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m</w:t>
            </w:r>
            <w:r>
              <w:rPr>
                <w:rFonts w:hint="eastAsia" w:ascii="仿宋_GB2312" w:hAnsi="仿宋_GB2312" w:eastAsia="仿宋_GB2312" w:cs="仿宋_GB2312"/>
                <w:szCs w:val="21"/>
                <w:vertAlign w:val="superscript"/>
              </w:rPr>
              <w:t>2</w:t>
            </w:r>
          </w:p>
        </w:tc>
        <w:tc>
          <w:tcPr>
            <w:tcW w:w="1042" w:type="dxa"/>
            <w:tcBorders>
              <w:top w:val="single" w:color="auto" w:sz="6" w:space="0"/>
              <w:left w:val="single" w:color="auto" w:sz="6" w:space="0"/>
              <w:bottom w:val="single" w:color="auto" w:sz="4"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r>
              <w:rPr>
                <w:rFonts w:hint="eastAsia" w:ascii="仿宋_GB2312" w:hAnsi="仿宋_GB2312" w:eastAsia="仿宋_GB2312" w:cs="仿宋_GB2312"/>
                <w:szCs w:val="21"/>
              </w:rPr>
              <w:t>1560</w:t>
            </w:r>
          </w:p>
        </w:tc>
        <w:tc>
          <w:tcPr>
            <w:tcW w:w="1753" w:type="dxa"/>
            <w:tcBorders>
              <w:top w:val="single" w:color="auto" w:sz="6" w:space="0"/>
              <w:left w:val="single" w:color="auto" w:sz="6" w:space="0"/>
              <w:bottom w:val="single" w:color="auto" w:sz="4" w:space="0"/>
              <w:right w:val="single" w:color="auto" w:sz="6" w:space="0"/>
            </w:tcBorders>
            <w:shd w:val="clear" w:color="auto" w:fill="FFFFFF"/>
            <w:vAlign w:val="center"/>
          </w:tcPr>
          <w:p>
            <w:pPr>
              <w:adjustRightInd w:val="0"/>
              <w:snapToGrid w:val="0"/>
              <w:spacing w:line="240" w:lineRule="exact"/>
              <w:jc w:val="center"/>
              <w:rPr>
                <w:rFonts w:ascii="仿宋_GB2312" w:hAnsi="仿宋_GB2312" w:eastAsia="仿宋_GB2312" w:cs="仿宋_GB2312"/>
                <w:szCs w:val="21"/>
              </w:rPr>
            </w:pPr>
          </w:p>
        </w:tc>
        <w:tc>
          <w:tcPr>
            <w:tcW w:w="1559" w:type="dxa"/>
            <w:tcBorders>
              <w:top w:val="single" w:color="auto" w:sz="6" w:space="0"/>
              <w:left w:val="single" w:color="auto" w:sz="6" w:space="0"/>
              <w:bottom w:val="single" w:color="auto" w:sz="4" w:space="0"/>
              <w:right w:val="single" w:color="auto" w:sz="4" w:space="0"/>
            </w:tcBorders>
            <w:shd w:val="clear" w:color="auto" w:fill="FFFFFF"/>
            <w:vAlign w:val="center"/>
          </w:tcPr>
          <w:p>
            <w:pPr>
              <w:rPr>
                <w:rFonts w:ascii="仿宋_GB2312" w:hAnsi="仿宋_GB2312" w:eastAsia="仿宋_GB2312" w:cs="仿宋_GB2312"/>
                <w:szCs w:val="21"/>
              </w:rPr>
            </w:pPr>
          </w:p>
        </w:tc>
      </w:tr>
    </w:tbl>
    <w:p>
      <w:pPr>
        <w:pStyle w:val="2"/>
        <w:adjustRightInd w:val="0"/>
        <w:snapToGrid w:val="0"/>
        <w:spacing w:before="0" w:after="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rPr>
        <w:t>九</w:t>
      </w:r>
      <w:r>
        <w:rPr>
          <w:rFonts w:ascii="黑体" w:hAnsi="黑体" w:eastAsia="黑体" w:cs="黑体"/>
          <w:b w:val="0"/>
          <w:sz w:val="32"/>
          <w:szCs w:val="32"/>
        </w:rPr>
        <w:t>、概算部分</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一）原则同意本次概算的编制原则及依据，费用标准和定额体系采用《陆上风电场工程设计概算编制规定及费用标准》（NB/T31011-2019）和《陆上风电场工程概算定额》（NB/T31010-2019），静态投资价格水平年为2023年第二季度。</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（二）本阶段推荐安装30台单机容量5500kW和7台5000kW，叶轮直径</w:t>
      </w:r>
      <w:r>
        <w:rPr>
          <w:rFonts w:hint="eastAsia" w:ascii="仿宋_GB2312" w:hAnsi="仿宋" w:eastAsia="仿宋_GB2312" w:cs="Arial"/>
          <w:sz w:val="32"/>
          <w:szCs w:val="32"/>
        </w:rPr>
        <w:t>200m</w:t>
      </w:r>
      <w:r>
        <w:rPr>
          <w:rFonts w:hint="eastAsia" w:ascii="仿宋_GB2312" w:hAnsi="仿宋_GB2312" w:eastAsia="仿宋_GB2312" w:cs="仿宋_GB2312"/>
          <w:sz w:val="32"/>
          <w:szCs w:val="32"/>
        </w:rPr>
        <w:t>，轮毂高度113m的风电机组。风电机组价格按照中标价</w:t>
      </w:r>
      <w:r>
        <w:rPr>
          <w:rFonts w:ascii="仿宋_GB2312" w:hAnsi="仿宋_GB2312" w:eastAsia="仿宋_GB2312" w:cs="仿宋_GB2312"/>
          <w:sz w:val="32"/>
          <w:szCs w:val="32"/>
        </w:rPr>
        <w:t>1578元/kW（含运费）计列，塔</w:t>
      </w:r>
      <w:r>
        <w:rPr>
          <w:rFonts w:hint="eastAsia" w:ascii="仿宋_GB2312" w:hAnsi="仿宋_GB2312" w:eastAsia="仿宋_GB2312" w:cs="仿宋_GB2312"/>
          <w:sz w:val="32"/>
          <w:szCs w:val="32"/>
        </w:rPr>
        <w:t>筒按照中标价</w:t>
      </w:r>
      <w:r>
        <w:rPr>
          <w:rFonts w:ascii="仿宋_GB2312" w:hAnsi="仿宋_GB2312" w:eastAsia="仿宋_GB2312" w:cs="仿宋_GB2312"/>
          <w:sz w:val="32"/>
          <w:szCs w:val="32"/>
        </w:rPr>
        <w:t>11512.8万元（含运费）</w:t>
      </w:r>
      <w:r>
        <w:rPr>
          <w:rFonts w:hint="eastAsia" w:ascii="仿宋_GB2312" w:hAnsi="仿宋_GB2312" w:eastAsia="仿宋_GB2312" w:cs="仿宋_GB2312"/>
          <w:sz w:val="32"/>
          <w:szCs w:val="32"/>
        </w:rPr>
        <w:t>计列</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其他设备参照近</w:t>
      </w:r>
      <w:r>
        <w:rPr>
          <w:rFonts w:hint="eastAsia" w:ascii="仿宋_GB2312" w:hAnsi="仿宋_GB2312" w:eastAsia="仿宋_GB2312" w:cs="仿宋_GB2312"/>
          <w:color w:val="auto"/>
          <w:sz w:val="32"/>
          <w:szCs w:val="32"/>
        </w:rPr>
        <w:t>期同类工程价</w:t>
      </w:r>
      <w:r>
        <w:rPr>
          <w:rFonts w:hint="eastAsia" w:ascii="仿宋_GB2312" w:hAnsi="仿宋_GB2312" w:eastAsia="仿宋_GB2312" w:cs="仿宋_GB2312"/>
          <w:sz w:val="32"/>
          <w:szCs w:val="32"/>
        </w:rPr>
        <w:t>格计列。</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（三）本工程新建1座110kV升压站，以1回110kV送出线路接入曹城330kV汇集站110kV侧，新建110kV线路约为34.5km。本工程送出线路及对侧间隔改造由电网公司出资建设考虑，投资暂按照接入系统报告6942万元计列。</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（四）本工程接入曹城330kV汇集站，汇集站分摊费用按照华电陕西能源有限公司出具的《关于陕西华电靖边韩家沟200MW风电项目接入曹城变费用分摊的说明》暂计列投资8000万元。</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（五）本工程配套</w:t>
      </w:r>
      <w:r>
        <w:rPr>
          <w:rFonts w:hint="eastAsia" w:ascii="仿宋_GB2312" w:hAnsi="仿宋" w:eastAsia="仿宋_GB2312" w:cs="Arial"/>
          <w:sz w:val="32"/>
          <w:szCs w:val="32"/>
        </w:rPr>
        <w:t>产业</w:t>
      </w:r>
      <w:r>
        <w:rPr>
          <w:rFonts w:hint="eastAsia" w:ascii="仿宋_GB2312" w:hAnsi="仿宋_GB2312" w:eastAsia="仿宋_GB2312" w:cs="仿宋_GB2312"/>
          <w:sz w:val="32"/>
          <w:szCs w:val="32"/>
        </w:rPr>
        <w:t>费按照华电陕西能源有限公司出具的《关于陕西华电靖边韩家沟20万千瓦风电项目配套产业的说明》暂计列投资22000万元。</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（六）片区管理综合楼投资按照华电陕西能源有限公司出具的《关于陕西华电靖边韩家沟200MW风电项目相关费用列支的说明》暂计列投资1150万元。</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（七）智慧风场投资按照华电陕西能源有限公司出具的《关于陕西华电靖边韩家沟200MW风电项目相关费用列支的说明》暂计列投资1005万元。</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（八）本工程可研概算静态投资87893.48万元（主体工程），单位千瓦静态投资4394.67元/kW；工程动态投资89216.28万元（主体工程），单位千瓦动态投资4460.81元/kW。</w:t>
      </w:r>
    </w:p>
    <w:p>
      <w:pPr>
        <w:pStyle w:val="21"/>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本工程可研概算静态投资126411.41万元（含</w:t>
      </w:r>
      <w:r>
        <w:rPr>
          <w:rFonts w:hint="eastAsia" w:ascii="仿宋_GB2312" w:eastAsia="仿宋_GB2312"/>
          <w:sz w:val="32"/>
          <w:szCs w:val="32"/>
        </w:rPr>
        <w:t>全部</w:t>
      </w:r>
      <w:r>
        <w:rPr>
          <w:rFonts w:hint="eastAsia" w:ascii="仿宋_GB2312" w:hAnsi="仿宋_GB2312" w:eastAsia="仿宋_GB2312" w:cs="仿宋_GB2312"/>
          <w:sz w:val="32"/>
          <w:szCs w:val="32"/>
        </w:rPr>
        <w:t>分摊），单位千瓦静态投资6320.57元/kW；工程动态投资128313.98万元（含</w:t>
      </w:r>
      <w:r>
        <w:rPr>
          <w:rFonts w:hint="eastAsia" w:ascii="仿宋_GB2312" w:eastAsia="仿宋_GB2312"/>
          <w:sz w:val="32"/>
          <w:szCs w:val="32"/>
        </w:rPr>
        <w:t>全部</w:t>
      </w:r>
      <w:r>
        <w:rPr>
          <w:rFonts w:hint="eastAsia" w:ascii="仿宋_GB2312" w:hAnsi="仿宋_GB2312" w:eastAsia="仿宋_GB2312" w:cs="仿宋_GB2312"/>
          <w:sz w:val="32"/>
          <w:szCs w:val="32"/>
        </w:rPr>
        <w:t>分摊），单位千瓦动态投资6415.70元/kW。本工程总投资128313.98万元。</w:t>
      </w:r>
    </w:p>
    <w:p>
      <w:pPr>
        <w:pStyle w:val="2"/>
        <w:adjustRightInd w:val="0"/>
        <w:snapToGrid w:val="0"/>
        <w:spacing w:before="0" w:after="0" w:line="560" w:lineRule="exact"/>
        <w:ind w:firstLine="640" w:firstLineChars="200"/>
        <w:rPr>
          <w:rFonts w:ascii="黑体" w:hAnsi="黑体" w:eastAsia="黑体" w:cs="黑体"/>
          <w:b w:val="0"/>
          <w:sz w:val="32"/>
          <w:szCs w:val="32"/>
        </w:rPr>
      </w:pPr>
      <w:r>
        <w:rPr>
          <w:rFonts w:ascii="黑体" w:hAnsi="黑体" w:eastAsia="黑体" w:cs="黑体"/>
          <w:b w:val="0"/>
          <w:sz w:val="32"/>
          <w:szCs w:val="32"/>
        </w:rPr>
        <w:t>十、财务评价部分</w:t>
      </w:r>
    </w:p>
    <w:p>
      <w:pPr>
        <w:adjustRightInd w:val="0"/>
        <w:snapToGrid w:val="0"/>
        <w:spacing w:line="560" w:lineRule="exact"/>
        <w:ind w:left="600"/>
        <w:rPr>
          <w:rFonts w:ascii="仿宋_GB2312" w:hAnsi="仿宋" w:eastAsia="仿宋_GB2312" w:cs="仿宋"/>
          <w:sz w:val="32"/>
          <w:szCs w:val="32"/>
        </w:rPr>
      </w:pPr>
      <w:r>
        <w:rPr>
          <w:rFonts w:hint="eastAsia" w:ascii="仿宋_GB2312" w:hAnsi="仿宋" w:eastAsia="仿宋_GB2312" w:cs="仿宋"/>
          <w:sz w:val="32"/>
          <w:szCs w:val="32"/>
        </w:rPr>
        <w:t>（一）评价结论</w:t>
      </w:r>
    </w:p>
    <w:p>
      <w:pPr>
        <w:pStyle w:val="21"/>
        <w:snapToGrid w:val="0"/>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本工程现阶段静态投资126411.41万元（含全部分摊），动态投资128313.98万元（含全部分摊），资本金比例按30%考虑。根据集团公司投资项目技经评审和风险评估实施细则规定的相关参数，按上网电价0.3345元/kWh</w:t>
      </w:r>
      <w:r>
        <w:rPr>
          <w:rFonts w:hint="eastAsia" w:ascii="仿宋_GB2312" w:eastAsia="仿宋_GB2312"/>
          <w:sz w:val="32"/>
          <w:szCs w:val="32"/>
          <w:lang w:eastAsia="zh-CN"/>
        </w:rPr>
        <w:t>，</w:t>
      </w:r>
      <w:r>
        <w:rPr>
          <w:rFonts w:hint="eastAsia" w:ascii="仿宋_GB2312" w:eastAsia="仿宋_GB2312"/>
          <w:sz w:val="32"/>
          <w:szCs w:val="32"/>
        </w:rPr>
        <w:t>年等效满负荷小时2376h等边界条件，测算的项目资本金内部收益率为12.26%。</w:t>
      </w:r>
    </w:p>
    <w:p>
      <w:pPr>
        <w:adjustRightInd w:val="0"/>
        <w:snapToGrid w:val="0"/>
        <w:spacing w:line="560" w:lineRule="exact"/>
        <w:ind w:left="600"/>
        <w:rPr>
          <w:rFonts w:ascii="仿宋_GB2312" w:hAnsi="仿宋" w:eastAsia="仿宋_GB2312" w:cs="仿宋"/>
          <w:sz w:val="32"/>
          <w:szCs w:val="32"/>
        </w:rPr>
      </w:pPr>
      <w:r>
        <w:rPr>
          <w:rFonts w:hint="eastAsia" w:ascii="仿宋_GB2312" w:hAnsi="仿宋" w:eastAsia="仿宋_GB2312" w:cs="仿宋"/>
          <w:sz w:val="32"/>
          <w:szCs w:val="32"/>
        </w:rPr>
        <w:t>（二）敏感性分析与风险性提示</w:t>
      </w:r>
    </w:p>
    <w:p>
      <w:pPr>
        <w:pStyle w:val="21"/>
        <w:snapToGrid w:val="0"/>
        <w:spacing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 考虑项目建设动态总</w:t>
      </w:r>
      <w:r>
        <w:rPr>
          <w:rFonts w:hint="eastAsia" w:ascii="仿宋_GB2312" w:hAnsi="仿宋" w:eastAsia="仿宋_GB2312" w:cs="Arial"/>
          <w:sz w:val="32"/>
          <w:szCs w:val="32"/>
        </w:rPr>
        <w:t>投资</w:t>
      </w:r>
      <w:r>
        <w:rPr>
          <w:rFonts w:hint="eastAsia" w:ascii="仿宋_GB2312" w:hAnsi="仿宋" w:eastAsia="仿宋_GB2312" w:cs="仿宋"/>
          <w:sz w:val="32"/>
          <w:szCs w:val="32"/>
        </w:rPr>
        <w:t>、发电量、电价等单因素发生+10%、+5%、-5%、-10%的</w:t>
      </w:r>
      <w:r>
        <w:rPr>
          <w:rFonts w:hint="eastAsia" w:ascii="仿宋_GB2312" w:hAnsi="仿宋" w:eastAsia="仿宋_GB2312" w:cs="Arial"/>
          <w:sz w:val="32"/>
          <w:szCs w:val="32"/>
        </w:rPr>
        <w:t>变化</w:t>
      </w:r>
      <w:r>
        <w:rPr>
          <w:rFonts w:hint="eastAsia" w:ascii="仿宋_GB2312" w:hAnsi="仿宋" w:eastAsia="仿宋_GB2312" w:cs="仿宋"/>
          <w:sz w:val="32"/>
          <w:szCs w:val="32"/>
        </w:rPr>
        <w:t>时对项目资本金内部收益率的影响，详见下表。</w:t>
      </w:r>
    </w:p>
    <w:tbl>
      <w:tblPr>
        <w:tblStyle w:val="18"/>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475"/>
        <w:gridCol w:w="3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blHeader/>
          <w:jc w:val="center"/>
        </w:trPr>
        <w:tc>
          <w:tcPr>
            <w:tcW w:w="2648" w:type="dxa"/>
            <w:shd w:val="clear" w:color="auto" w:fill="FFFFFF"/>
            <w:vAlign w:val="center"/>
          </w:tcPr>
          <w:p>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变化因素</w:t>
            </w:r>
          </w:p>
        </w:tc>
        <w:tc>
          <w:tcPr>
            <w:tcW w:w="2475" w:type="dxa"/>
            <w:shd w:val="clear" w:color="auto" w:fill="FFFFFF"/>
            <w:vAlign w:val="center"/>
          </w:tcPr>
          <w:p>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变化率</w:t>
            </w:r>
          </w:p>
        </w:tc>
        <w:tc>
          <w:tcPr>
            <w:tcW w:w="3399" w:type="dxa"/>
            <w:shd w:val="clear" w:color="auto" w:fill="FFFFFF"/>
            <w:vAlign w:val="center"/>
          </w:tcPr>
          <w:p>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资本金内部收益率（%）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5123" w:type="dxa"/>
            <w:gridSpan w:val="2"/>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基准值（%）</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restart"/>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投资额</w:t>
            </w: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15.77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13.90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02"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9.48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restart"/>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年均发电量</w:t>
            </w:r>
          </w:p>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（或上网电价）</w:t>
            </w: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8.87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13.99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15.76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restart"/>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利率</w:t>
            </w: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12.89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12.57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62"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bottom"/>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11.65</w:t>
            </w:r>
          </w:p>
        </w:tc>
      </w:tr>
    </w:tbl>
    <w:p>
      <w:pPr>
        <w:pStyle w:val="21"/>
        <w:snapToGrid w:val="0"/>
        <w:spacing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kern w:val="2"/>
          <w:sz w:val="32"/>
          <w:szCs w:val="32"/>
        </w:rPr>
        <w:t>2. 若考虑项目投资不含分摊，测算项目资本金内部收益率为27.35%</w:t>
      </w:r>
      <w:r>
        <w:rPr>
          <w:rFonts w:hint="eastAsia" w:ascii="仿宋_GB2312" w:hAnsi="仿宋_GB2312" w:eastAsia="仿宋_GB2312"/>
          <w:color w:val="auto"/>
          <w:kern w:val="2"/>
          <w:sz w:val="32"/>
          <w:szCs w:val="32"/>
          <w:lang w:eastAsia="zh-CN"/>
        </w:rPr>
        <w:t>。</w:t>
      </w:r>
    </w:p>
    <w:p>
      <w:pPr>
        <w:pStyle w:val="21"/>
        <w:snapToGrid w:val="0"/>
        <w:spacing w:line="560" w:lineRule="exact"/>
        <w:ind w:firstLine="640" w:firstLineChars="200"/>
        <w:jc w:val="both"/>
        <w:rPr>
          <w:rFonts w:ascii="仿宋_GB2312" w:hAnsi="仿宋_GB2312" w:eastAsia="仿宋_GB2312" w:cs="仿宋_GB2312"/>
          <w:sz w:val="32"/>
          <w:szCs w:val="32"/>
        </w:rPr>
      </w:pPr>
      <w:r>
        <w:rPr>
          <w:rFonts w:ascii="仿宋_GB2312" w:hAnsi="仿宋_GB2312" w:eastAsia="仿宋_GB2312"/>
          <w:color w:val="auto"/>
          <w:kern w:val="2"/>
          <w:sz w:val="32"/>
          <w:szCs w:val="32"/>
        </w:rPr>
        <w:t>3.</w:t>
      </w:r>
      <w:r>
        <w:rPr>
          <w:rFonts w:hint="eastAsia" w:ascii="仿宋_GB2312" w:hAnsi="仿宋_GB2312" w:eastAsia="仿宋_GB2312"/>
          <w:color w:val="auto"/>
          <w:kern w:val="2"/>
          <w:sz w:val="32"/>
          <w:szCs w:val="32"/>
        </w:rPr>
        <w:t xml:space="preserve"> 按6.5%资本金内部</w:t>
      </w:r>
      <w:r>
        <w:rPr>
          <w:rFonts w:hint="eastAsia" w:ascii="仿宋_GB2312" w:hAnsi="仿宋" w:eastAsia="仿宋_GB2312" w:cs="Arial"/>
          <w:sz w:val="32"/>
          <w:szCs w:val="32"/>
        </w:rPr>
        <w:t>收益率</w:t>
      </w:r>
      <w:r>
        <w:rPr>
          <w:rFonts w:hint="eastAsia" w:ascii="仿宋_GB2312" w:hAnsi="仿宋_GB2312" w:eastAsia="仿宋_GB2312"/>
          <w:color w:val="auto"/>
          <w:kern w:val="2"/>
          <w:sz w:val="32"/>
          <w:szCs w:val="32"/>
        </w:rPr>
        <w:t>反算电价为0.277元/kWh。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decorative"/>
    <w:pitch w:val="default"/>
    <w:sig w:usb0="A00002EF" w:usb1="4000207B" w:usb2="00000000"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swiss"/>
    <w:pitch w:val="default"/>
    <w:sig w:usb0="00000001" w:usb1="080E0000" w:usb2="00000000" w:usb3="00000000" w:csb0="00040000" w:csb1="00000000"/>
  </w:font>
  <w:font w:name="仿宋">
    <w:panose1 w:val="02010609060101010101"/>
    <w:charset w:val="86"/>
    <w:family w:val="swiss"/>
    <w:pitch w:val="default"/>
    <w:sig w:usb0="800002BF" w:usb1="38CF7CFA" w:usb2="00000016" w:usb3="00000000" w:csb0="00040001" w:csb1="00000000"/>
  </w:font>
  <w:font w:name="Arial">
    <w:panose1 w:val="020B0604020202020204"/>
    <w:charset w:val="00"/>
    <w:family w:val="decorative"/>
    <w:pitch w:val="default"/>
    <w:sig w:usb0="E0002AFF" w:usb1="C0007843" w:usb2="00000009" w:usb3="00000000" w:csb0="400001FF" w:csb1="FFFF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E2B24B4"/>
    <w:multiLevelType w:val="singleLevel"/>
    <w:tmpl w:val="DE2B24B4"/>
    <w:lvl w:ilvl="0" w:tentative="0">
      <w:start w:val="1"/>
      <w:numFmt w:val="decimal"/>
      <w:pStyle w:val="12"/>
      <w:lvlText w:val="%1."/>
      <w:lvlJc w:val="left"/>
      <w:pPr>
        <w:tabs>
          <w:tab w:val="left" w:pos="2040"/>
        </w:tabs>
        <w:ind w:left="2040" w:hanging="360"/>
      </w:pPr>
    </w:lvl>
  </w:abstractNum>
  <w:abstractNum w:abstractNumId="1">
    <w:nsid w:val="332CCD1F"/>
    <w:multiLevelType w:val="singleLevel"/>
    <w:tmpl w:val="332CCD1F"/>
    <w:lvl w:ilvl="0" w:tentative="0">
      <w:start w:val="7"/>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dit="readOnly" w:enforcement="1" w:cryptProviderType="rsaFull" w:cryptAlgorithmClass="hash" w:cryptAlgorithmType="typeAny" w:cryptAlgorithmSid="4" w:cryptSpinCount="0" w:hash="B0JtXbscIxlvkH/YDXNN9qjAvWM=" w:salt="z7uYryRUaQXa/ep6ZwBldg=="/>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yMGFlMmNkNmIyNGI4YzNjOWU4OWFjMThmMTAxMjUifQ=="/>
  </w:docVars>
  <w:rsids>
    <w:rsidRoot w:val="00F067F6"/>
    <w:rsid w:val="00066EBD"/>
    <w:rsid w:val="000E1BA4"/>
    <w:rsid w:val="001166F2"/>
    <w:rsid w:val="001D40AE"/>
    <w:rsid w:val="00282A8C"/>
    <w:rsid w:val="002F0278"/>
    <w:rsid w:val="00384C40"/>
    <w:rsid w:val="005B5C07"/>
    <w:rsid w:val="00637706"/>
    <w:rsid w:val="008C4105"/>
    <w:rsid w:val="00AE5C95"/>
    <w:rsid w:val="00C95FED"/>
    <w:rsid w:val="00EB35BC"/>
    <w:rsid w:val="00F067F6"/>
    <w:rsid w:val="00F35F80"/>
    <w:rsid w:val="00F53662"/>
    <w:rsid w:val="01042CD0"/>
    <w:rsid w:val="017C0051"/>
    <w:rsid w:val="01963C1B"/>
    <w:rsid w:val="02025461"/>
    <w:rsid w:val="02900CBF"/>
    <w:rsid w:val="02C92423"/>
    <w:rsid w:val="030E7E36"/>
    <w:rsid w:val="03FD0E3E"/>
    <w:rsid w:val="048E2C65"/>
    <w:rsid w:val="04CB3A39"/>
    <w:rsid w:val="058A5E9A"/>
    <w:rsid w:val="06510766"/>
    <w:rsid w:val="06674EF3"/>
    <w:rsid w:val="0808754A"/>
    <w:rsid w:val="08375619"/>
    <w:rsid w:val="08406C98"/>
    <w:rsid w:val="091E5277"/>
    <w:rsid w:val="0A1977EC"/>
    <w:rsid w:val="0A913826"/>
    <w:rsid w:val="0B026EC9"/>
    <w:rsid w:val="0B8B471A"/>
    <w:rsid w:val="0BD53BE7"/>
    <w:rsid w:val="0C8E44C1"/>
    <w:rsid w:val="0E9B2EC6"/>
    <w:rsid w:val="11A32BFD"/>
    <w:rsid w:val="12C30C3D"/>
    <w:rsid w:val="13B4692A"/>
    <w:rsid w:val="13F5101B"/>
    <w:rsid w:val="1457788F"/>
    <w:rsid w:val="15597637"/>
    <w:rsid w:val="180C394D"/>
    <w:rsid w:val="18BA0347"/>
    <w:rsid w:val="190E33B2"/>
    <w:rsid w:val="194222A2"/>
    <w:rsid w:val="1A3362B7"/>
    <w:rsid w:val="1AE6196C"/>
    <w:rsid w:val="1EA30273"/>
    <w:rsid w:val="1ECC70CB"/>
    <w:rsid w:val="1F136AA8"/>
    <w:rsid w:val="202D5948"/>
    <w:rsid w:val="205E2895"/>
    <w:rsid w:val="20A92087"/>
    <w:rsid w:val="219C520C"/>
    <w:rsid w:val="21AE4866"/>
    <w:rsid w:val="23AF726E"/>
    <w:rsid w:val="247A7B87"/>
    <w:rsid w:val="248D27F1"/>
    <w:rsid w:val="26EE23A2"/>
    <w:rsid w:val="275A1718"/>
    <w:rsid w:val="27637EA1"/>
    <w:rsid w:val="283C7D9D"/>
    <w:rsid w:val="28C332ED"/>
    <w:rsid w:val="2A0B4F4C"/>
    <w:rsid w:val="2A6C409A"/>
    <w:rsid w:val="2A8D49AB"/>
    <w:rsid w:val="2B2A1401"/>
    <w:rsid w:val="2B563B35"/>
    <w:rsid w:val="2C0E2AD1"/>
    <w:rsid w:val="2C730B86"/>
    <w:rsid w:val="2CBC252D"/>
    <w:rsid w:val="2CDC672B"/>
    <w:rsid w:val="2D855015"/>
    <w:rsid w:val="2DB651CE"/>
    <w:rsid w:val="2F202621"/>
    <w:rsid w:val="2F7E3ACA"/>
    <w:rsid w:val="30145D2F"/>
    <w:rsid w:val="30584AB3"/>
    <w:rsid w:val="30E10C27"/>
    <w:rsid w:val="31852DB6"/>
    <w:rsid w:val="31CB6D6E"/>
    <w:rsid w:val="31D04A59"/>
    <w:rsid w:val="3207249C"/>
    <w:rsid w:val="32625925"/>
    <w:rsid w:val="3311526D"/>
    <w:rsid w:val="33187C53"/>
    <w:rsid w:val="335E684E"/>
    <w:rsid w:val="338A1A9A"/>
    <w:rsid w:val="342533DC"/>
    <w:rsid w:val="35A46254"/>
    <w:rsid w:val="360D3E75"/>
    <w:rsid w:val="3693127B"/>
    <w:rsid w:val="373D426B"/>
    <w:rsid w:val="37AE5168"/>
    <w:rsid w:val="37ED5C91"/>
    <w:rsid w:val="38305B7D"/>
    <w:rsid w:val="3875194F"/>
    <w:rsid w:val="388D1ABC"/>
    <w:rsid w:val="398919E9"/>
    <w:rsid w:val="3A0B4AF4"/>
    <w:rsid w:val="3A267238"/>
    <w:rsid w:val="3CD038CA"/>
    <w:rsid w:val="3D195399"/>
    <w:rsid w:val="3DAF0BA9"/>
    <w:rsid w:val="3DB34B81"/>
    <w:rsid w:val="3DD55DB0"/>
    <w:rsid w:val="3E2B688F"/>
    <w:rsid w:val="3FF027C2"/>
    <w:rsid w:val="40582115"/>
    <w:rsid w:val="40AA596F"/>
    <w:rsid w:val="41432DC5"/>
    <w:rsid w:val="425863FC"/>
    <w:rsid w:val="43CB32AB"/>
    <w:rsid w:val="43FE0B21"/>
    <w:rsid w:val="4440539A"/>
    <w:rsid w:val="47FC5A7C"/>
    <w:rsid w:val="48455675"/>
    <w:rsid w:val="4855661E"/>
    <w:rsid w:val="490C1CEF"/>
    <w:rsid w:val="49CC72FF"/>
    <w:rsid w:val="4A505151"/>
    <w:rsid w:val="4AA743C5"/>
    <w:rsid w:val="4AAF5028"/>
    <w:rsid w:val="4BD27749"/>
    <w:rsid w:val="4DB90697"/>
    <w:rsid w:val="4EE94FAC"/>
    <w:rsid w:val="4EFB6A8D"/>
    <w:rsid w:val="4F5B577E"/>
    <w:rsid w:val="4F7F321A"/>
    <w:rsid w:val="505803C4"/>
    <w:rsid w:val="50834F8C"/>
    <w:rsid w:val="514209A3"/>
    <w:rsid w:val="5222381F"/>
    <w:rsid w:val="54280325"/>
    <w:rsid w:val="54295E4B"/>
    <w:rsid w:val="554A3055"/>
    <w:rsid w:val="55596A60"/>
    <w:rsid w:val="557B4484"/>
    <w:rsid w:val="564979A5"/>
    <w:rsid w:val="56570A4D"/>
    <w:rsid w:val="56815ACA"/>
    <w:rsid w:val="57401011"/>
    <w:rsid w:val="57544F8D"/>
    <w:rsid w:val="57A64363"/>
    <w:rsid w:val="57AF2B0B"/>
    <w:rsid w:val="59E63722"/>
    <w:rsid w:val="5A7616BE"/>
    <w:rsid w:val="5A867B53"/>
    <w:rsid w:val="5BF810FD"/>
    <w:rsid w:val="5F585836"/>
    <w:rsid w:val="608A577B"/>
    <w:rsid w:val="6113146A"/>
    <w:rsid w:val="616C01FD"/>
    <w:rsid w:val="62DF24F6"/>
    <w:rsid w:val="63493E13"/>
    <w:rsid w:val="64B928D3"/>
    <w:rsid w:val="64C64FF0"/>
    <w:rsid w:val="64E102F6"/>
    <w:rsid w:val="65077AE2"/>
    <w:rsid w:val="65B2734B"/>
    <w:rsid w:val="65BA783F"/>
    <w:rsid w:val="65D86017"/>
    <w:rsid w:val="661324B7"/>
    <w:rsid w:val="66ED0F5A"/>
    <w:rsid w:val="67753429"/>
    <w:rsid w:val="686F7E78"/>
    <w:rsid w:val="68F465CF"/>
    <w:rsid w:val="6A301CE3"/>
    <w:rsid w:val="6A826E33"/>
    <w:rsid w:val="6B175E16"/>
    <w:rsid w:val="6B653436"/>
    <w:rsid w:val="6C360CAD"/>
    <w:rsid w:val="6C4433CA"/>
    <w:rsid w:val="6CDA788A"/>
    <w:rsid w:val="6EC32CCC"/>
    <w:rsid w:val="70AD73F2"/>
    <w:rsid w:val="70B86135"/>
    <w:rsid w:val="71E40759"/>
    <w:rsid w:val="72023EDE"/>
    <w:rsid w:val="722C0B88"/>
    <w:rsid w:val="724C4D86"/>
    <w:rsid w:val="72C36EB5"/>
    <w:rsid w:val="72C82F67"/>
    <w:rsid w:val="72EE3DCB"/>
    <w:rsid w:val="7327134F"/>
    <w:rsid w:val="7352461E"/>
    <w:rsid w:val="73830C7C"/>
    <w:rsid w:val="73AA6208"/>
    <w:rsid w:val="740022CC"/>
    <w:rsid w:val="74310608"/>
    <w:rsid w:val="761E2EDE"/>
    <w:rsid w:val="76217CA0"/>
    <w:rsid w:val="76273383"/>
    <w:rsid w:val="76AA651F"/>
    <w:rsid w:val="79A454A8"/>
    <w:rsid w:val="79CE76EF"/>
    <w:rsid w:val="79D00993"/>
    <w:rsid w:val="7A8772A3"/>
    <w:rsid w:val="7A9D32DA"/>
    <w:rsid w:val="7AE34246"/>
    <w:rsid w:val="7B0F4F83"/>
    <w:rsid w:val="7B226FCC"/>
    <w:rsid w:val="7B2C39A7"/>
    <w:rsid w:val="7C896BD7"/>
    <w:rsid w:val="7CE04A49"/>
    <w:rsid w:val="7DB06B11"/>
    <w:rsid w:val="7E097FCF"/>
    <w:rsid w:val="7E486D4A"/>
    <w:rsid w:val="7EC16AFC"/>
    <w:rsid w:val="7EC54522"/>
    <w:rsid w:val="7F2A46A1"/>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9"/>
    <w:pPr>
      <w:keepNext/>
      <w:keepLines/>
      <w:widowControl w:val="0"/>
      <w:spacing w:before="340" w:after="330" w:line="578" w:lineRule="auto"/>
      <w:jc w:val="both"/>
      <w:outlineLvl w:val="0"/>
    </w:pPr>
    <w:rPr>
      <w:rFonts w:ascii="Times New Roman" w:hAnsi="Times New Roman" w:cs="Times New Roman"/>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0"/>
    <w:pPr>
      <w:keepNext/>
      <w:keepLines/>
      <w:spacing w:line="413"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rFonts w:ascii="Cambria" w:hAnsi="Cambria"/>
      <w:b/>
      <w:bCs/>
      <w:sz w:val="28"/>
      <w:szCs w:val="28"/>
    </w:rPr>
  </w:style>
  <w:style w:type="character" w:default="1" w:styleId="17">
    <w:name w:val="Default Paragraph Font"/>
    <w:unhideWhenUsed/>
    <w:uiPriority w:val="1"/>
  </w:style>
  <w:style w:type="table" w:default="1" w:styleId="18">
    <w:name w:val="Normal Table"/>
    <w:unhideWhenUsed/>
    <w:uiPriority w:val="99"/>
    <w:tblPr>
      <w:tblLayout w:type="fixed"/>
      <w:tblCellMar>
        <w:top w:w="0" w:type="dxa"/>
        <w:left w:w="108" w:type="dxa"/>
        <w:bottom w:w="0" w:type="dxa"/>
        <w:right w:w="108" w:type="dxa"/>
      </w:tblCellMar>
    </w:tblPr>
  </w:style>
  <w:style w:type="paragraph" w:styleId="6">
    <w:name w:val="Body Text First Indent"/>
    <w:basedOn w:val="7"/>
    <w:next w:val="8"/>
    <w:unhideWhenUsed/>
    <w:qFormat/>
    <w:uiPriority w:val="99"/>
    <w:pPr>
      <w:ind w:firstLine="420" w:firstLineChars="100"/>
    </w:pPr>
  </w:style>
  <w:style w:type="paragraph" w:styleId="7">
    <w:name w:val="Body Text"/>
    <w:basedOn w:val="1"/>
    <w:next w:val="6"/>
    <w:qFormat/>
    <w:uiPriority w:val="0"/>
    <w:pPr>
      <w:spacing w:after="120"/>
    </w:pPr>
  </w:style>
  <w:style w:type="paragraph" w:styleId="8">
    <w:name w:val="index 6"/>
    <w:basedOn w:val="1"/>
    <w:next w:val="1"/>
    <w:qFormat/>
    <w:uiPriority w:val="0"/>
    <w:pPr>
      <w:wordWrap w:val="0"/>
      <w:ind w:left="1000" w:leftChars="1000"/>
    </w:pPr>
    <w:rPr>
      <w:color w:val="000000"/>
      <w:sz w:val="28"/>
      <w:szCs w:val="20"/>
    </w:rPr>
  </w:style>
  <w:style w:type="paragraph" w:styleId="9">
    <w:name w:val="Normal Indent"/>
    <w:basedOn w:val="1"/>
    <w:qFormat/>
    <w:uiPriority w:val="0"/>
    <w:pPr>
      <w:ind w:firstLine="420"/>
    </w:pPr>
    <w:rPr>
      <w:rFonts w:hint="eastAsia"/>
    </w:rPr>
  </w:style>
  <w:style w:type="paragraph" w:styleId="10">
    <w:name w:val="Body Text Indent"/>
    <w:basedOn w:val="1"/>
    <w:next w:val="1"/>
    <w:semiHidden/>
    <w:qFormat/>
    <w:uiPriority w:val="99"/>
    <w:pPr>
      <w:spacing w:after="120"/>
      <w:ind w:left="420" w:leftChars="200"/>
    </w:pPr>
  </w:style>
  <w:style w:type="paragraph" w:styleId="11">
    <w:name w:val="Plain Text"/>
    <w:basedOn w:val="1"/>
    <w:next w:val="12"/>
    <w:qFormat/>
    <w:uiPriority w:val="0"/>
    <w:rPr>
      <w:rFonts w:hAnsi="Courier New"/>
      <w:szCs w:val="20"/>
    </w:rPr>
  </w:style>
  <w:style w:type="paragraph" w:styleId="12">
    <w:name w:val="List Number 5"/>
    <w:basedOn w:val="1"/>
    <w:qFormat/>
    <w:uiPriority w:val="0"/>
    <w:pPr>
      <w:numPr>
        <w:ilvl w:val="0"/>
        <w:numId w:val="1"/>
      </w:numPr>
    </w:pPr>
  </w:style>
  <w:style w:type="paragraph" w:styleId="13">
    <w:name w:val="footer"/>
    <w:basedOn w:val="1"/>
    <w:link w:val="25"/>
    <w:qFormat/>
    <w:uiPriority w:val="0"/>
    <w:pPr>
      <w:tabs>
        <w:tab w:val="center" w:pos="4153"/>
        <w:tab w:val="right" w:pos="8306"/>
      </w:tabs>
      <w:snapToGrid w:val="0"/>
    </w:pPr>
    <w:rPr>
      <w:sz w:val="18"/>
      <w:szCs w:val="18"/>
    </w:rPr>
  </w:style>
  <w:style w:type="paragraph" w:styleId="14">
    <w:name w:val="Body Text First Indent 2"/>
    <w:basedOn w:val="10"/>
    <w:next w:val="11"/>
    <w:unhideWhenUsed/>
    <w:qFormat/>
    <w:uiPriority w:val="99"/>
    <w:pPr>
      <w:ind w:firstLine="420" w:firstLineChars="200"/>
    </w:pPr>
  </w:style>
  <w:style w:type="paragraph" w:styleId="15">
    <w:name w:val="header"/>
    <w:basedOn w:val="1"/>
    <w:link w:val="24"/>
    <w:qFormat/>
    <w:uiPriority w:val="0"/>
    <w:pPr>
      <w:tabs>
        <w:tab w:val="center" w:pos="4153"/>
        <w:tab w:val="right" w:pos="8306"/>
      </w:tabs>
      <w:snapToGrid w:val="0"/>
      <w:jc w:val="center"/>
    </w:pPr>
    <w:rPr>
      <w:sz w:val="18"/>
      <w:szCs w:val="18"/>
    </w:rPr>
  </w:style>
  <w:style w:type="paragraph" w:styleId="16">
    <w:name w:val="toc 2"/>
    <w:basedOn w:val="1"/>
    <w:next w:val="1"/>
    <w:unhideWhenUsed/>
    <w:qFormat/>
    <w:uiPriority w:val="39"/>
    <w:pPr>
      <w:spacing w:after="100" w:line="276" w:lineRule="auto"/>
      <w:ind w:left="220"/>
    </w:pPr>
    <w:rPr>
      <w:rFonts w:ascii="Calibri" w:hAnsi="Calibri" w:cs="黑体"/>
      <w:sz w:val="22"/>
      <w:szCs w:val="22"/>
    </w:rPr>
  </w:style>
  <w:style w:type="table" w:styleId="19">
    <w:name w:val="Table Grid"/>
    <w:basedOn w:val="1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0">
    <w:name w:val="表格文字"/>
    <w:next w:val="1"/>
    <w:qFormat/>
    <w:uiPriority w:val="0"/>
    <w:pPr>
      <w:adjustRightInd w:val="0"/>
      <w:ind w:firstLine="480" w:firstLineChars="200"/>
      <w:jc w:val="center"/>
      <w:textAlignment w:val="baseline"/>
    </w:pPr>
    <w:rPr>
      <w:rFonts w:ascii="Times New Roman" w:hAnsi="Times New Roman" w:eastAsia="宋体" w:cs="Times New Roman"/>
      <w:color w:val="000000"/>
      <w:spacing w:val="-23"/>
      <w:kern w:val="24"/>
      <w:sz w:val="24"/>
      <w:szCs w:val="21"/>
      <w:lang w:val="en-US" w:eastAsia="zh-CN" w:bidi="ar-SA"/>
    </w:rPr>
  </w:style>
  <w:style w:type="paragraph" w:customStyle="1" w:styleId="21">
    <w:name w:val="Default"/>
    <w:next w:val="16"/>
    <w:qForma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paragraph" w:customStyle="1" w:styleId="22">
    <w:name w:val="List Paragraph"/>
    <w:basedOn w:val="1"/>
    <w:qFormat/>
    <w:uiPriority w:val="34"/>
    <w:pPr>
      <w:ind w:firstLine="420" w:firstLineChars="200"/>
    </w:pPr>
  </w:style>
  <w:style w:type="paragraph" w:customStyle="1" w:styleId="23">
    <w:name w:val="!正文缩2"/>
    <w:basedOn w:val="1"/>
    <w:qFormat/>
    <w:uiPriority w:val="0"/>
    <w:pPr>
      <w:widowControl w:val="0"/>
      <w:spacing w:line="500" w:lineRule="exact"/>
      <w:ind w:firstLine="200" w:firstLineChars="200"/>
      <w:jc w:val="both"/>
    </w:pPr>
    <w:rPr>
      <w:kern w:val="2"/>
      <w:sz w:val="28"/>
      <w:szCs w:val="28"/>
      <w:lang w:val="zh-CN"/>
    </w:rPr>
  </w:style>
  <w:style w:type="character" w:customStyle="1" w:styleId="24">
    <w:name w:val="页眉 字符"/>
    <w:basedOn w:val="17"/>
    <w:link w:val="15"/>
    <w:qFormat/>
    <w:uiPriority w:val="0"/>
    <w:rPr>
      <w:rFonts w:ascii="宋体" w:hAnsi="宋体" w:cs="宋体"/>
      <w:sz w:val="18"/>
      <w:szCs w:val="18"/>
    </w:rPr>
  </w:style>
  <w:style w:type="character" w:customStyle="1" w:styleId="25">
    <w:name w:val="页脚 字符"/>
    <w:basedOn w:val="17"/>
    <w:link w:val="13"/>
    <w:qFormat/>
    <w:uiPriority w:val="0"/>
    <w:rPr>
      <w:rFonts w:ascii="宋体" w:hAnsi="宋体" w:cs="宋体"/>
      <w:sz w:val="18"/>
      <w:szCs w:val="18"/>
    </w:rPr>
  </w:style>
  <w:style w:type="paragraph" w:customStyle="1" w:styleId="26">
    <w:name w:val="修订1"/>
    <w:hidden/>
    <w:unhideWhenUsed/>
    <w:qFormat/>
    <w:uiPriority w:val="99"/>
    <w:rPr>
      <w:rFonts w:ascii="宋体" w:hAnsi="宋体" w:eastAsia="宋体" w:cs="宋体"/>
      <w:sz w:val="24"/>
      <w:szCs w:val="24"/>
      <w:lang w:val="en-US" w:eastAsia="zh-CN" w:bidi="ar-SA"/>
    </w:rPr>
  </w:style>
  <w:style w:type="paragraph" w:customStyle="1" w:styleId="27">
    <w:name w:val="Revision"/>
    <w:hidden/>
    <w:unhideWhenUsed/>
    <w:qFormat/>
    <w:uiPriority w:val="99"/>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8731</Words>
  <Characters>10523</Characters>
  <Lines>25</Lines>
  <Paragraphs>23</Paragraphs>
  <ScaleCrop>false</ScaleCrop>
  <LinksUpToDate>false</LinksUpToDate>
  <CharactersWithSpaces>10592</CharactersWithSpaces>
  <Application>WPS Office_10.8.0.6018_F1E327BC-269C-435d-A152-05C5408002CA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2022-06-23T09:44:00Z</dcterms:created>
  <dc:creator>echo2611</dc:creator>
  <cp:lastModifiedBy>文印室（贾庆杰）</cp:lastModifiedBy>
  <dcterms:modified xsi:type="dcterms:W3CDTF">2023-08-08T07:07:12Z</dcterms:modified>
  <dc:title>附件1</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2052-10.8.0.6018</vt:lpwstr>
  </property>
  <property fmtid="{D5CDD505-2E9C-101B-9397-08002B2CF9AE}" pid="3" name="ICV">
    <vt:lpwstr>415291C463314AB5B5C08B54DB51F5F3_13</vt:lpwstr>
  </property>
</Properties>
</file>