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02EE9">
      <w:pPr>
        <w:widowControl w:val="0"/>
        <w:adjustRightInd w:val="0"/>
        <w:snapToGrid w:val="0"/>
        <w:spacing w:line="560" w:lineRule="exact"/>
        <w:rPr>
          <w:rFonts w:ascii="黑体" w:hAnsi="黑体" w:eastAsia="黑体" w:cs="黑体"/>
          <w:spacing w:val="-7"/>
          <w:sz w:val="32"/>
          <w:szCs w:val="32"/>
          <w:highlight w:val="none"/>
        </w:rPr>
      </w:pPr>
      <w:bookmarkStart w:id="2" w:name="_GoBack"/>
      <w:r>
        <w:rPr>
          <w:rFonts w:hint="eastAsia" w:ascii="黑体" w:hAnsi="黑体" w:eastAsia="黑体" w:cs="黑体"/>
          <w:spacing w:val="-7"/>
          <w:sz w:val="32"/>
          <w:szCs w:val="32"/>
          <w:highlight w:val="none"/>
        </w:rPr>
        <w:t>附件1</w:t>
      </w:r>
    </w:p>
    <w:p w14:paraId="1E25650D">
      <w:pPr>
        <w:widowControl w:val="0"/>
        <w:adjustRightInd w:val="0"/>
        <w:snapToGrid w:val="0"/>
        <w:spacing w:line="560" w:lineRule="exact"/>
        <w:jc w:val="both"/>
        <w:rPr>
          <w:rFonts w:ascii="黑体" w:hAnsi="黑体" w:eastAsia="黑体"/>
          <w:spacing w:val="-7"/>
          <w:sz w:val="32"/>
          <w:szCs w:val="32"/>
          <w:highlight w:val="none"/>
        </w:rPr>
      </w:pPr>
    </w:p>
    <w:p w14:paraId="2DBDF65A">
      <w:pPr>
        <w:widowControl w:val="0"/>
        <w:adjustRightInd w:val="0"/>
        <w:snapToGrid w:val="0"/>
        <w:spacing w:line="560" w:lineRule="exact"/>
        <w:ind w:right="-58" w:rightChars="-24"/>
        <w:jc w:val="center"/>
        <w:rPr>
          <w:rFonts w:hint="eastAsia" w:ascii="方正小标宋简体" w:hAnsi="黑体" w:eastAsia="方正小标宋简体" w:cs="黑体"/>
          <w:spacing w:val="-7"/>
          <w:sz w:val="44"/>
          <w:szCs w:val="44"/>
          <w:highlight w:val="none"/>
        </w:rPr>
      </w:pPr>
      <w:r>
        <w:rPr>
          <w:rFonts w:hint="eastAsia" w:ascii="方正小标宋简体" w:hAnsi="黑体" w:eastAsia="方正小标宋简体" w:cs="黑体"/>
          <w:spacing w:val="-7"/>
          <w:sz w:val="44"/>
          <w:szCs w:val="44"/>
          <w:highlight w:val="none"/>
        </w:rPr>
        <w:t>陕西华电临渭区100MW光伏发电项目</w:t>
      </w:r>
    </w:p>
    <w:p w14:paraId="1ACE7164">
      <w:pPr>
        <w:widowControl w:val="0"/>
        <w:adjustRightInd w:val="0"/>
        <w:snapToGrid w:val="0"/>
        <w:spacing w:line="560" w:lineRule="exact"/>
        <w:ind w:right="-58" w:rightChars="-24"/>
        <w:jc w:val="center"/>
        <w:rPr>
          <w:rFonts w:hint="eastAsia" w:ascii="方正小标宋简体" w:hAnsi="黑体" w:eastAsia="方正小标宋简体" w:cs="黑体"/>
          <w:spacing w:val="-7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黑体" w:eastAsia="方正小标宋简体" w:cs="黑体"/>
          <w:spacing w:val="-7"/>
          <w:sz w:val="44"/>
          <w:szCs w:val="44"/>
          <w:highlight w:val="none"/>
          <w:lang w:val="en-US" w:eastAsia="zh-CN"/>
        </w:rPr>
        <w:t>可</w:t>
      </w:r>
      <w:r>
        <w:rPr>
          <w:rFonts w:hint="eastAsia" w:ascii="方正小标宋简体" w:hAnsi="黑体" w:eastAsia="方正小标宋简体" w:cs="黑体"/>
          <w:spacing w:val="-7"/>
          <w:sz w:val="44"/>
          <w:szCs w:val="44"/>
          <w:highlight w:val="none"/>
        </w:rPr>
        <w:t>行性研究报告审查</w:t>
      </w:r>
      <w:r>
        <w:rPr>
          <w:rFonts w:hint="eastAsia" w:ascii="方正小标宋简体" w:hAnsi="黑体" w:eastAsia="方正小标宋简体" w:cs="黑体"/>
          <w:spacing w:val="-7"/>
          <w:sz w:val="44"/>
          <w:szCs w:val="44"/>
          <w:highlight w:val="none"/>
          <w:lang w:val="en-US" w:eastAsia="zh-CN"/>
        </w:rPr>
        <w:t>意见</w:t>
      </w:r>
    </w:p>
    <w:p w14:paraId="23EC8DEC">
      <w:pPr>
        <w:widowControl w:val="0"/>
        <w:adjustRightInd w:val="0"/>
        <w:snapToGrid w:val="0"/>
        <w:spacing w:line="560" w:lineRule="exact"/>
        <w:jc w:val="both"/>
        <w:rPr>
          <w:rFonts w:ascii="黑体" w:hAnsi="黑体" w:eastAsia="黑体"/>
          <w:kern w:val="2"/>
          <w:sz w:val="30"/>
          <w:szCs w:val="30"/>
          <w:highlight w:val="none"/>
        </w:rPr>
      </w:pPr>
    </w:p>
    <w:p w14:paraId="7A47CF77">
      <w:pPr>
        <w:pStyle w:val="36"/>
        <w:snapToGrid w:val="0"/>
        <w:spacing w:line="560" w:lineRule="exact"/>
        <w:ind w:firstLine="640" w:firstLineChars="200"/>
        <w:jc w:val="both"/>
        <w:rPr>
          <w:rFonts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</w:pPr>
      <w:r>
        <w:rPr>
          <w:rFonts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202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年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月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10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日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集团公司技经中心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在北京市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组织召开了陕西华电临渭区100MW光伏发电项目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以下简称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本项目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）可行性研究报告审查会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参加会议的华电陕西能源有限公司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以下简称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华电陕西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公司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），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陕西华电新能源发电有限公司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以下简称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项目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公司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），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以及西安特变电工电力设计有限责任公司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（以下简称设计单位）等单位的专家及代表。</w:t>
      </w:r>
    </w:p>
    <w:p w14:paraId="6B655586">
      <w:pPr>
        <w:pStyle w:val="36"/>
        <w:snapToGrid w:val="0"/>
        <w:spacing w:line="560" w:lineRule="exact"/>
        <w:ind w:firstLine="640" w:firstLineChars="200"/>
        <w:jc w:val="both"/>
        <w:rPr>
          <w:rFonts w:ascii="仿宋_GB2312" w:hAnsi="仿宋_GB2312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</w:rPr>
        <w:t>经与会代表讨论后形成了审查会纪要。根据纪要的要求，项目公司组织各有关单位落实相关工作，设计单位补充完善了项目设计文件，并对审查纪要相关问题逐项答复。技经中心组织有关专家根据完善的设计文件，对相关技术和概算等逐项进行了讨论和评审，形成一致意见。具体如下：</w:t>
      </w:r>
    </w:p>
    <w:p w14:paraId="63E206ED">
      <w:pPr>
        <w:pStyle w:val="2"/>
        <w:keepNext w:val="0"/>
        <w:keepLines w:val="0"/>
        <w:widowControl w:val="0"/>
        <w:tabs>
          <w:tab w:val="clear" w:pos="400"/>
        </w:tabs>
        <w:adjustRightInd w:val="0"/>
        <w:snapToGrid w:val="0"/>
        <w:spacing w:before="0" w:after="0" w:line="560" w:lineRule="exact"/>
        <w:ind w:firstLine="640" w:firstLineChars="200"/>
        <w:jc w:val="both"/>
        <w:rPr>
          <w:rFonts w:ascii="黑体" w:hAnsi="黑体" w:eastAsia="黑体"/>
          <w:b w:val="0"/>
          <w:bCs w:val="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</w:rPr>
        <w:t>一、项目建设的必要性</w:t>
      </w:r>
    </w:p>
    <w:p w14:paraId="4A85C5B3">
      <w:pPr>
        <w:pStyle w:val="3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本项目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位于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陕西省渭南市临渭区境内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项目所处区域属暖温带大陆性季风气候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项目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场址区太阳能年水平面总辐射量为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/>
        </w:rPr>
        <w:t>5101.9</w:t>
      </w:r>
      <w:r>
        <w:rPr>
          <w:rFonts w:ascii="仿宋_GB2312" w:hAnsi="仿宋_GB2312" w:eastAsia="仿宋_GB2312" w:cs="宋体"/>
          <w:b w:val="0"/>
          <w:bCs w:val="0"/>
          <w:kern w:val="2"/>
          <w:sz w:val="32"/>
          <w:szCs w:val="32"/>
          <w:highlight w:val="none"/>
        </w:rPr>
        <w:t>MJ/m</w:t>
      </w:r>
      <w:r>
        <w:rPr>
          <w:rFonts w:ascii="仿宋_GB2312" w:hAnsi="仿宋_GB2312" w:eastAsia="仿宋_GB2312" w:cs="宋体"/>
          <w:b w:val="0"/>
          <w:bCs w:val="0"/>
          <w:kern w:val="2"/>
          <w:sz w:val="32"/>
          <w:szCs w:val="32"/>
          <w:highlight w:val="none"/>
          <w:vertAlign w:val="superscript"/>
        </w:rPr>
        <w:t>2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highlight w:val="none"/>
          <w:vertAlign w:val="baseline"/>
          <w:lang w:eastAsia="zh-CN"/>
        </w:rPr>
        <w:t>，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highlight w:val="none"/>
          <w:vertAlign w:val="baseline"/>
          <w:lang w:val="en-US" w:eastAsia="zh-CN"/>
        </w:rPr>
        <w:t>根据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highlight w:val="none"/>
          <w:vertAlign w:val="baseline"/>
          <w:lang w:eastAsia="zh-CN"/>
        </w:rPr>
        <w:t>《太阳能资源评估方法》（GB/T37526-2019），太阳能资源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highlight w:val="none"/>
          <w:vertAlign w:val="baseline"/>
          <w:lang w:val="en-US" w:eastAsia="zh-CN"/>
        </w:rPr>
        <w:t>丰富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highlight w:val="none"/>
          <w:vertAlign w:val="baseline"/>
          <w:lang w:eastAsia="zh-CN"/>
        </w:rPr>
        <w:t>（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highlight w:val="none"/>
          <w:vertAlign w:val="baseline"/>
          <w:lang w:val="en-US" w:eastAsia="zh-CN"/>
        </w:rPr>
        <w:t>C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highlight w:val="none"/>
          <w:vertAlign w:val="baseline"/>
          <w:lang w:eastAsia="zh-CN"/>
        </w:rPr>
        <w:t>级），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资源具备开发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条件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。</w:t>
      </w:r>
    </w:p>
    <w:p w14:paraId="47598E44">
      <w:pPr>
        <w:pStyle w:val="36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Lines="0" w:afterLines="0" w:line="540" w:lineRule="exact"/>
        <w:ind w:firstLine="640" w:firstLineChars="200"/>
        <w:jc w:val="both"/>
        <w:textAlignment w:val="auto"/>
        <w:rPr>
          <w:rFonts w:ascii="仿宋_GB2312" w:hAnsi="仿宋_GB2312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</w:rPr>
        <w:t>利用当地</w:t>
      </w:r>
      <w:r>
        <w:rPr>
          <w:rFonts w:hint="eastAsia" w:ascii="仿宋_GB2312" w:hAnsi="仿宋_GB2312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太阳能</w:t>
      </w:r>
      <w:r>
        <w:rPr>
          <w:rFonts w:hint="eastAsia" w:ascii="仿宋_GB2312" w:hAnsi="仿宋_GB2312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</w:rPr>
        <w:t>资源，建设光伏发电项目，可以改善</w:t>
      </w:r>
      <w:r>
        <w:rPr>
          <w:rFonts w:hint="eastAsia" w:ascii="仿宋_GB2312" w:hAnsi="仿宋_GB2312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区域</w:t>
      </w:r>
      <w:r>
        <w:rPr>
          <w:rFonts w:hint="eastAsia" w:ascii="仿宋_GB2312" w:hAnsi="仿宋_GB2312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</w:rPr>
        <w:t>能源结构，</w:t>
      </w:r>
      <w:r>
        <w:rPr>
          <w:rFonts w:hint="eastAsia" w:ascii="仿宋_GB2312" w:hAnsi="仿宋_GB2312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促进华电陕西区域低碳绿色发展，</w:t>
      </w:r>
      <w:r>
        <w:rPr>
          <w:rFonts w:hint="eastAsia" w:ascii="仿宋_GB2312" w:hAnsi="仿宋_GB2312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</w:rPr>
        <w:t>符合国家</w:t>
      </w:r>
      <w:r>
        <w:rPr>
          <w:rFonts w:hint="eastAsia" w:ascii="仿宋_GB2312" w:hAnsi="仿宋_GB2312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能源及相关产业政策</w:t>
      </w:r>
      <w:r>
        <w:rPr>
          <w:rFonts w:hint="eastAsia" w:ascii="仿宋_GB2312" w:hAnsi="仿宋_GB2312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</w:rPr>
        <w:t>符合集团</w:t>
      </w:r>
      <w:r>
        <w:rPr>
          <w:rFonts w:hint="eastAsia" w:ascii="仿宋_GB2312" w:hAnsi="仿宋_GB2312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公司</w:t>
      </w:r>
      <w:r>
        <w:rPr>
          <w:rFonts w:hint="eastAsia" w:ascii="仿宋_GB2312" w:hAnsi="仿宋_GB2312" w:eastAsia="仿宋_GB2312" w:cs="Times New Roman"/>
          <w:b w:val="0"/>
          <w:bCs w:val="0"/>
          <w:color w:val="auto"/>
          <w:kern w:val="2"/>
          <w:sz w:val="32"/>
          <w:szCs w:val="32"/>
          <w:highlight w:val="none"/>
        </w:rPr>
        <w:t>发展战略。</w:t>
      </w:r>
    </w:p>
    <w:p w14:paraId="36A4602D">
      <w:pPr>
        <w:keepNext w:val="0"/>
        <w:keepLines w:val="0"/>
        <w:widowControl w:val="0"/>
        <w:adjustRightInd w:val="0"/>
        <w:snapToGrid w:val="0"/>
        <w:spacing w:before="0" w:beforeLines="0" w:after="0" w:afterLines="0" w:line="540" w:lineRule="exact"/>
        <w:ind w:firstLineChars="200"/>
        <w:jc w:val="both"/>
        <w:outlineLvl w:val="9"/>
        <w:rPr>
          <w:rFonts w:ascii="黑体" w:hAnsi="黑体" w:eastAsia="黑体"/>
          <w:b w:val="0"/>
          <w:bCs w:val="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</w:rPr>
        <w:t>二、建设条件</w:t>
      </w:r>
    </w:p>
    <w:p w14:paraId="036C1D4E">
      <w:pPr>
        <w:pStyle w:val="36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beforeLines="0" w:afterLines="0" w:line="540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</w:rPr>
        <w:t>（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一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</w:rPr>
        <w:t>）建设指标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与项目备案</w:t>
      </w:r>
    </w:p>
    <w:p w14:paraId="3B8F1F31">
      <w:pPr>
        <w:pStyle w:val="36"/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beforeLines="0" w:afterLines="0" w:line="54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根据陕西省发改委《关于公布2024年新能源项目保障性并网规模竞争性配置结果的通知》（陕发改能新能源〔2024〕1702号）和《陕西省企业投资项目备案确认书》，项目建设规模100MW。</w:t>
      </w:r>
    </w:p>
    <w:p w14:paraId="35E3532D">
      <w:pPr>
        <w:pStyle w:val="3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 w:val="0"/>
        <w:snapToGrid w:val="0"/>
        <w:spacing w:beforeLines="0" w:afterLines="0" w:line="540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（二）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上网电价及弃电</w:t>
      </w:r>
    </w:p>
    <w:p w14:paraId="2DFF28CC">
      <w:pPr>
        <w:pStyle w:val="3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Lines="0" w:afterLines="0" w:line="54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根据华电陕西公司《关于华电临渭区10万千瓦光伏项目上网电价说明》和《华电临渭区10万千瓦光伏发电项目电价分析专题报告》，按照陕西区域机制电价征求意见稿，并结合现货和绿色环境价值等，项目上网电价暂按0.303元/kWh考虑。</w:t>
      </w:r>
    </w:p>
    <w:p w14:paraId="48AA3F57">
      <w:pPr>
        <w:pStyle w:val="3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Lines="0" w:afterLines="0" w:line="54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根据华电陕西公司《关于华电临渭区10万千瓦光伏项目弃电率说明》，项目弃电率暂按前3年年均5%、后22年年均2%考虑。</w:t>
      </w:r>
    </w:p>
    <w:p w14:paraId="5111F91A">
      <w:pPr>
        <w:pStyle w:val="3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Lines="0" w:afterLines="0" w:line="540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</w:rPr>
        <w:t>（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三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</w:rPr>
        <w:t>）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项目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</w:rPr>
        <w:t>用地</w:t>
      </w:r>
    </w:p>
    <w:p w14:paraId="6EE532D2">
      <w:pPr>
        <w:widowControl w:val="0"/>
        <w:adjustRightInd w:val="0"/>
        <w:snapToGrid w:val="0"/>
        <w:spacing w:beforeLines="0" w:afterLines="0" w:line="540" w:lineRule="exact"/>
        <w:ind w:firstLine="640" w:firstLineChars="200"/>
        <w:jc w:val="both"/>
        <w:rPr>
          <w:rFonts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1.</w:t>
      </w:r>
      <w:r>
        <w:rPr>
          <w:rFonts w:hint="eastAsia" w:ascii="仿宋_GB2312" w:hAnsi="仿宋_GB2312" w:eastAsia="仿宋_GB2312"/>
          <w:sz w:val="32"/>
          <w:szCs w:val="32"/>
          <w:lang w:val="en-US" w:eastAsia="zh-CN"/>
        </w:rPr>
        <w:t xml:space="preserve"> 项目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暂未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取得用地预审批复，请项目公司</w:t>
      </w:r>
      <w:r>
        <w:rPr>
          <w:rFonts w:hint="eastAsia" w:ascii="仿宋_GB2312" w:hAnsi="仿宋_GB2312" w:eastAsia="仿宋_GB2312"/>
          <w:sz w:val="32"/>
          <w:szCs w:val="32"/>
          <w:highlight w:val="none"/>
          <w:lang w:val="en-US" w:eastAsia="zh-CN"/>
        </w:rPr>
        <w:t>在项目实施前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取得用地手续的批复文件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/>
        </w:rPr>
        <w:t>并协调设计单位复核本项目可研报告中永久用地方案</w:t>
      </w:r>
      <w:r>
        <w:rPr>
          <w:rFonts w:hint="eastAsia" w:ascii="仿宋_GB2312" w:hAnsi="仿宋_GB2312" w:eastAsia="仿宋_GB2312"/>
          <w:sz w:val="32"/>
          <w:szCs w:val="32"/>
        </w:rPr>
        <w:t>。</w:t>
      </w:r>
    </w:p>
    <w:p w14:paraId="3C58CED8">
      <w:pPr>
        <w:pStyle w:val="3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 w:line="54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 xml:space="preserve">2. 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-6"/>
          <w:kern w:val="2"/>
          <w:sz w:val="32"/>
          <w:szCs w:val="32"/>
          <w:highlight w:val="none"/>
          <w:lang w:val="en-US" w:eastAsia="zh-CN"/>
        </w:rPr>
        <w:t>根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2"/>
          <w:sz w:val="32"/>
          <w:szCs w:val="32"/>
          <w:highlight w:val="none"/>
          <w:lang w:val="en-US" w:eastAsia="zh-CN"/>
        </w:rPr>
        <w:t>据项目公司与渭南市临渭区水务投资开发建设有限公司签订的《渭南市临渭区排碱渠光伏廊道示范项目投资开发合作协议》，本项目以0.03元/W·年的标准向临渭区水投公司支付排碱渠租赁费，包括建设期在内的前5年合计缴纳1500万元，后续运营期按年支付。</w:t>
      </w:r>
    </w:p>
    <w:p w14:paraId="22574E7C">
      <w:pPr>
        <w:pStyle w:val="3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40" w:lineRule="exact"/>
        <w:ind w:left="0" w:leftChars="0" w:firstLine="616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pacing w:val="-6"/>
          <w:kern w:val="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-6"/>
          <w:kern w:val="2"/>
          <w:sz w:val="32"/>
          <w:szCs w:val="32"/>
          <w:highlight w:val="none"/>
          <w:lang w:val="en-US" w:eastAsia="zh-CN"/>
        </w:rPr>
        <w:t xml:space="preserve">3. 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根据华电陕西公司《关于华电临渭区10万千瓦光伏项目征租地相关费用的说明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-6"/>
          <w:kern w:val="2"/>
          <w:sz w:val="32"/>
          <w:szCs w:val="32"/>
          <w:highlight w:val="none"/>
          <w:lang w:val="en-US" w:eastAsia="zh-CN"/>
        </w:rPr>
        <w:t>》，项目永久征地面积7.13亩，征地费暂按30万元/亩计列；箱变、检修道路及线路塔基用地面积114.48亩，费用4.25万元亩·年；临时租地面积8.85亩，组件按0.09万元/亩·年计列，建设期一次性支付。</w:t>
      </w:r>
    </w:p>
    <w:p w14:paraId="17AD3CB0">
      <w:pPr>
        <w:pStyle w:val="36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Lines="0" w:afterLines="0" w:line="540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</w:rPr>
        <w:t>（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四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</w:rPr>
        <w:t>）环评、水保</w:t>
      </w:r>
    </w:p>
    <w:p w14:paraId="2E112BC1">
      <w:pPr>
        <w:pStyle w:val="3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beforeLines="0" w:afterLines="0"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1. 项目已取得渭南市行政审批服务局《关于华电临渭区10万千瓦光伏项目水土保持方案准予行政许可决定书》（渭行审水发〔2025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〕</w:t>
      </w:r>
      <w:r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28号）。</w:t>
      </w:r>
    </w:p>
    <w:p w14:paraId="322292D2">
      <w:pPr>
        <w:pStyle w:val="3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beforeLines="0" w:afterLines="0" w:line="540" w:lineRule="exact"/>
        <w:ind w:firstLine="640" w:firstLineChars="200"/>
        <w:jc w:val="both"/>
        <w:textAlignment w:val="auto"/>
        <w:rPr>
          <w:rFonts w:hint="default" w:ascii="仿宋_GB2312" w:hAnsi="仿宋_GB2312" w:eastAsia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2. 项目已取得环境影响表批复。</w:t>
      </w:r>
    </w:p>
    <w:p w14:paraId="4D5309FA">
      <w:pPr>
        <w:pStyle w:val="3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beforeLines="0" w:afterLines="0"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/>
          <w:b w:val="0"/>
          <w:bCs w:val="0"/>
          <w:sz w:val="32"/>
          <w:szCs w:val="32"/>
          <w:highlight w:val="none"/>
          <w:lang w:val="en-US" w:eastAsia="zh-CN"/>
        </w:rPr>
        <w:t>3. 本阶段根据环评水保批复计列相关方案和费用。</w:t>
      </w:r>
    </w:p>
    <w:p w14:paraId="63BCE137">
      <w:pPr>
        <w:pStyle w:val="3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beforeLines="0" w:afterLines="0" w:line="540" w:lineRule="exact"/>
        <w:ind w:firstLine="640" w:firstLineChars="200"/>
        <w:jc w:val="both"/>
        <w:textAlignment w:val="auto"/>
        <w:rPr>
          <w:rFonts w:hint="eastAsia" w:ascii="楷体" w:hAnsi="楷体" w:eastAsia="楷体" w:cs="楷体"/>
          <w:b w:val="0"/>
          <w:bCs w:val="0"/>
          <w:color w:val="auto"/>
          <w:kern w:val="2"/>
          <w:sz w:val="32"/>
          <w:szCs w:val="32"/>
          <w:highlight w:val="none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接入系统</w:t>
      </w:r>
    </w:p>
    <w:p w14:paraId="64C80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" w:eastAsia="仿宋_GB2312" w:cs="Arial"/>
          <w:sz w:val="32"/>
          <w:szCs w:val="32"/>
        </w:rPr>
        <w:t>已完成接入系统设计</w:t>
      </w:r>
      <w:r>
        <w:rPr>
          <w:rFonts w:hint="eastAsia" w:ascii="仿宋_GB2312" w:hAnsi="仿宋" w:eastAsia="仿宋_GB2312" w:cs="Arial"/>
          <w:sz w:val="32"/>
          <w:szCs w:val="32"/>
          <w:highlight w:val="none"/>
        </w:rPr>
        <w:t>，暂未批复。</w:t>
      </w:r>
      <w:r>
        <w:rPr>
          <w:rFonts w:hint="eastAsia" w:ascii="仿宋_GB2312" w:hAnsi="仿宋" w:eastAsia="仿宋_GB2312" w:cs="Arial"/>
          <w:sz w:val="32"/>
          <w:szCs w:val="32"/>
          <w:highlight w:val="none"/>
          <w:lang w:val="en-US" w:eastAsia="zh-CN"/>
        </w:rPr>
        <w:t>根据接入系统设计，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项目拟新建1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座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11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0kV升压站，以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回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11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0kV线路接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至330kV春光变，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送出线路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长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约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17.5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km，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导线截面2×300mm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vertAlign w:val="superscript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。</w:t>
      </w:r>
    </w:p>
    <w:p w14:paraId="3E31A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送出工程暂按项目公司出资建设考虑，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最终以接入系统批复意见为准。</w:t>
      </w:r>
    </w:p>
    <w:p w14:paraId="58C201B8">
      <w:pPr>
        <w:pStyle w:val="36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beforeLines="0" w:afterLines="0" w:line="540" w:lineRule="exact"/>
        <w:ind w:firstLine="640" w:firstLineChars="200"/>
        <w:jc w:val="both"/>
        <w:textAlignment w:val="auto"/>
        <w:rPr>
          <w:rFonts w:hint="eastAsia" w:ascii="楷体" w:hAnsi="楷体" w:eastAsia="楷体" w:cs="楷体"/>
          <w:b w:val="0"/>
          <w:bCs w:val="0"/>
          <w:color w:val="auto"/>
          <w:kern w:val="2"/>
          <w:sz w:val="32"/>
          <w:szCs w:val="32"/>
          <w:highlight w:val="none"/>
          <w:lang w:eastAsia="zh-CN"/>
        </w:rPr>
      </w:pPr>
      <w:r>
        <w:rPr>
          <w:rFonts w:hint="eastAsia" w:ascii="楷体" w:hAnsi="楷体" w:eastAsia="楷体" w:cs="楷体"/>
          <w:b w:val="0"/>
          <w:bCs w:val="0"/>
          <w:color w:val="auto"/>
          <w:kern w:val="2"/>
          <w:sz w:val="32"/>
          <w:szCs w:val="32"/>
          <w:highlight w:val="none"/>
          <w:lang w:eastAsia="zh-CN"/>
        </w:rPr>
        <w:t>地形图及初勘</w:t>
      </w:r>
    </w:p>
    <w:p w14:paraId="219226CD">
      <w:pPr>
        <w:pStyle w:val="36"/>
        <w:autoSpaceDE/>
        <w:autoSpaceDN/>
        <w:adjustRightInd/>
        <w:snapToGrid/>
        <w:spacing w:beforeLines="0" w:afterLines="0" w:line="540" w:lineRule="exact"/>
        <w:ind w:firstLine="640" w:firstLineChars="200"/>
        <w:jc w:val="both"/>
        <w:rPr>
          <w:rFonts w:hint="eastAsia" w:ascii="楷体" w:hAnsi="楷体" w:eastAsia="楷体" w:cs="楷体"/>
          <w:b w:val="0"/>
          <w:bCs w:val="0"/>
          <w:color w:val="auto"/>
          <w:kern w:val="2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已完成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升压站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1：500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光伏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场址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区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1:1000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地形图测绘及地质初勘工作。</w:t>
      </w:r>
    </w:p>
    <w:p w14:paraId="6F2D52E4">
      <w:pPr>
        <w:keepNext w:val="0"/>
        <w:keepLines w:val="0"/>
        <w:widowControl w:val="0"/>
        <w:adjustRightInd/>
        <w:snapToGrid/>
        <w:spacing w:before="0" w:beforeLines="0" w:after="0" w:afterLines="0" w:line="540" w:lineRule="exact"/>
        <w:ind w:firstLineChars="200"/>
        <w:jc w:val="both"/>
        <w:outlineLvl w:val="9"/>
        <w:rPr>
          <w:rFonts w:ascii="黑体" w:hAnsi="黑体" w:eastAsia="黑体"/>
          <w:b w:val="0"/>
          <w:bCs w:val="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</w:rPr>
        <w:t>三、光资源及发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电量</w:t>
      </w:r>
    </w:p>
    <w:p w14:paraId="35B04031">
      <w:pPr>
        <w:pStyle w:val="36"/>
        <w:adjustRightInd/>
        <w:snapToGrid/>
        <w:spacing w:beforeLines="0" w:afterLines="0" w:line="540" w:lineRule="exact"/>
        <w:ind w:firstLine="640" w:firstLineChars="200"/>
        <w:jc w:val="both"/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</w:rPr>
        <w:t>（一）气象数据</w:t>
      </w:r>
    </w:p>
    <w:p w14:paraId="4555FAEB">
      <w:pPr>
        <w:widowControl w:val="0"/>
        <w:adjustRightInd/>
        <w:snapToGrid/>
        <w:spacing w:line="560" w:lineRule="exact"/>
        <w:ind w:firstLine="640" w:firstLineChars="200"/>
        <w:jc w:val="both"/>
        <w:rPr>
          <w:rFonts w:ascii="仿宋_GB2312" w:hAnsi="仿宋_GB2312" w:eastAsia="仿宋_GB2312"/>
          <w:color w:val="auto"/>
          <w:kern w:val="2"/>
          <w:sz w:val="32"/>
          <w:szCs w:val="32"/>
        </w:rPr>
      </w:pPr>
      <w:r>
        <w:rPr>
          <w:rFonts w:hint="eastAsia" w:ascii="仿宋_GB2312" w:hAnsi="仿宋_GB2312" w:eastAsia="仿宋_GB2312" w:cs="Times New Roman"/>
          <w:kern w:val="2"/>
          <w:sz w:val="32"/>
          <w:szCs w:val="32"/>
          <w:lang w:val="en-US" w:eastAsia="zh-CN"/>
        </w:rPr>
        <w:t>原则同意设计单位选择蒲城气象站作为基础气象数据参证站。根据气象站多年气象要素统计结果，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</w:rPr>
        <w:t>该地区多年平均气温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lang w:val="en-US" w:eastAsia="zh-CN"/>
        </w:rPr>
        <w:t>14.3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</w:rPr>
        <w:t>℃，极端最高气温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lang w:val="en-US" w:eastAsia="zh-CN"/>
        </w:rPr>
        <w:t>41.8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</w:rPr>
        <w:t>℃，极端最低气温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lang w:val="en-US" w:eastAsia="zh-CN"/>
        </w:rPr>
        <w:t>-16.7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</w:rPr>
        <w:t>℃，多年平均降水量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lang w:val="en-US" w:eastAsia="zh-CN"/>
        </w:rPr>
        <w:t>488.3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</w:rPr>
        <w:t>mm。</w:t>
      </w:r>
    </w:p>
    <w:p w14:paraId="54D4D4C8">
      <w:pPr>
        <w:pStyle w:val="36"/>
        <w:adjustRightInd/>
        <w:snapToGrid/>
        <w:spacing w:line="560" w:lineRule="exact"/>
        <w:ind w:firstLine="640" w:firstLineChars="200"/>
        <w:jc w:val="both"/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</w:rPr>
        <w:t>（二）资源评价</w:t>
      </w:r>
    </w:p>
    <w:p w14:paraId="2E0BFC7C">
      <w:pPr>
        <w:widowControl w:val="0"/>
        <w:autoSpaceDE w:val="0"/>
        <w:autoSpaceDN w:val="0"/>
        <w:adjustRightInd/>
        <w:snapToGrid/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/>
        </w:rPr>
        <w:t>原则同意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</w:rPr>
        <w:t>设计单位采用Solargis辐射数据为基础推算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/>
        </w:rPr>
        <w:t>场址区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</w:rPr>
        <w:t>太阳能年水平面总辐射量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eastAsia="zh-CN"/>
        </w:rPr>
        <w:t>，项目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</w:rPr>
        <w:t>场址区太阳能年水平面总辐射量为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/>
        </w:rPr>
        <w:t>5101.9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</w:rPr>
        <w:t>MJ/m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vertAlign w:val="superscript"/>
        </w:rPr>
        <w:t>2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</w:rPr>
        <w:t>。</w:t>
      </w:r>
    </w:p>
    <w:p w14:paraId="515F105B">
      <w:pPr>
        <w:widowControl w:val="0"/>
        <w:adjustRightInd/>
        <w:snapToGrid/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太阳能总辐射稳定度为0.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45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，稳定度等级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B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级（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稳定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太阳能辐射直射比0.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45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，属于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C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级（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散射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辐射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较多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）。</w:t>
      </w:r>
    </w:p>
    <w:p w14:paraId="7074D4D4">
      <w:pPr>
        <w:pStyle w:val="36"/>
        <w:adjustRightInd/>
        <w:snapToGrid/>
        <w:spacing w:line="560" w:lineRule="exact"/>
        <w:ind w:firstLine="640" w:firstLineChars="200"/>
        <w:jc w:val="both"/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</w:rPr>
        <w:t>（三）主要设备选型</w:t>
      </w:r>
    </w:p>
    <w:p w14:paraId="4C223DAD">
      <w:pPr>
        <w:pStyle w:val="36"/>
        <w:numPr>
          <w:ilvl w:val="0"/>
          <w:numId w:val="0"/>
        </w:numPr>
        <w:adjustRightInd/>
        <w:snapToGrid/>
        <w:spacing w:line="560" w:lineRule="exact"/>
        <w:ind w:left="0" w:leftChars="0" w:firstLine="640" w:firstLineChars="200"/>
        <w:jc w:val="both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 xml:space="preserve">1. 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根据设计单位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推荐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方案，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拟安装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184632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块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N型650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Wp单晶硅双面双玻光伏组件，组件转换效率为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24.8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%。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项目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装机总容量为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120.0108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MWp。</w:t>
      </w:r>
    </w:p>
    <w:p w14:paraId="762E5361">
      <w:pPr>
        <w:widowControl w:val="0"/>
        <w:numPr>
          <w:ilvl w:val="0"/>
          <w:numId w:val="0"/>
        </w:numPr>
        <w:autoSpaceDE w:val="0"/>
        <w:autoSpaceDN w:val="0"/>
        <w:adjustRightInd/>
        <w:snapToGrid/>
        <w:spacing w:line="560" w:lineRule="exact"/>
        <w:ind w:left="0" w:leftChars="0" w:firstLine="640" w:firstLineChars="200"/>
        <w:jc w:val="both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 xml:space="preserve">2. 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根据设计单位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推荐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方案，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拟安装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312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台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320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kW组串式逆变器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安装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48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台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1.3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MVA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箱变、40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台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1.0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MVA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箱变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，逆变器总容量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99.84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MW，容配比约1.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。</w:t>
      </w:r>
    </w:p>
    <w:p w14:paraId="68F3E8F5">
      <w:pPr>
        <w:widowControl w:val="0"/>
        <w:autoSpaceDE w:val="0"/>
        <w:autoSpaceDN w:val="0"/>
        <w:adjustRightInd/>
        <w:snapToGrid/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请项目公司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协调设计单位，项目实施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前结合场区气候条件及地形地貌状况、相关主设备适配等，通过经济技术综合比较，进一步优化复核逆变器选型方案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确定最佳项目容配比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。</w:t>
      </w:r>
    </w:p>
    <w:p w14:paraId="17B13F43">
      <w:pPr>
        <w:pStyle w:val="36"/>
        <w:adjustRightInd/>
        <w:snapToGrid/>
        <w:spacing w:line="560" w:lineRule="exact"/>
        <w:ind w:firstLine="640" w:firstLineChars="200"/>
        <w:jc w:val="both"/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</w:rPr>
        <w:t>（四）光伏组件布置</w:t>
      </w:r>
    </w:p>
    <w:p w14:paraId="156ED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1.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本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项目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光伏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组件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采用固定支架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及大跨度支架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，渠面宽度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m以下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采用固定支架，8m以上采用大跨度支架。其中，固定支架安装容量17.3628MWp，大跨度支架安装容量102.648MWp。</w:t>
      </w:r>
    </w:p>
    <w:p w14:paraId="3BE72D6A"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before="0" w:after="0" w:line="54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2. 项目排碱渠包括南北走向和东西走向两种。其中，东西走向组件安装容量为67.158MWp，组件布置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方位角-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0°～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+30°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，安装倾角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分别为8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°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10°、15°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南北走向组件安装容量52.8528MWp，组件布置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方位角-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15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°～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+15°，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安装倾角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°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。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组件最低点离地高度为2m。</w:t>
      </w:r>
    </w:p>
    <w:p w14:paraId="24883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.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 xml:space="preserve"> 采用组串式逆变器的情况下，项目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光伏组串的组件串联个数为2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。</w:t>
      </w:r>
    </w:p>
    <w:p w14:paraId="3007057A">
      <w:pPr>
        <w:pStyle w:val="36"/>
        <w:adjustRightInd/>
        <w:snapToGrid/>
        <w:spacing w:line="540" w:lineRule="exact"/>
        <w:ind w:firstLine="640" w:firstLineChars="200"/>
        <w:jc w:val="both"/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</w:rPr>
        <w:t>（五）发电量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测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kern w:val="2"/>
          <w:sz w:val="32"/>
          <w:szCs w:val="32"/>
          <w:highlight w:val="none"/>
        </w:rPr>
        <w:t>算</w:t>
      </w:r>
    </w:p>
    <w:p w14:paraId="24654306">
      <w:pPr>
        <w:pStyle w:val="36"/>
        <w:numPr>
          <w:ilvl w:val="0"/>
          <w:numId w:val="0"/>
        </w:numPr>
        <w:adjustRightInd/>
        <w:snapToGrid/>
        <w:spacing w:line="540" w:lineRule="exact"/>
        <w:ind w:left="0" w:leftChars="0" w:firstLine="640" w:firstLineChars="200"/>
        <w:jc w:val="both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 xml:space="preserve">1. 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本项目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光伏组件首年功率衰减系数为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%，之后每年衰减系数为0.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35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</w:rPr>
        <w:t>%。</w:t>
      </w:r>
    </w:p>
    <w:p w14:paraId="763A5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 xml:space="preserve">2.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根据设计单位PVsyst模拟结果，本项目加权斜面辐射量为1483.4kWh/m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vertAlign w:val="superscript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vertAlign w:val="baseline"/>
          <w:lang w:val="en-US" w:eastAsia="zh-CN"/>
        </w:rPr>
        <w:t>，系统效率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82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.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%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含首年衰减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），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背面增益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系数0.4%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项目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首年发电量1466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万kWh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首年利用小时数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1222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h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25年平均发电量1404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万kWh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25年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平均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利用小时数117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</w:rPr>
        <w:t>h。</w:t>
      </w:r>
    </w:p>
    <w:p w14:paraId="5144A2E2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 w:bidi="ar-SA"/>
        </w:rPr>
        <w:t>考虑弃电后，项目首年发电量13932万kWh、首年利用小时数</w:t>
      </w:r>
      <w:r>
        <w:rPr>
          <w:rFonts w:hint="eastAsia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 w:bidi="ar-SA"/>
        </w:rPr>
        <w:t>1161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 w:bidi="ar-SA"/>
        </w:rPr>
        <w:t>h；25年平均发电量1371</w:t>
      </w:r>
      <w:r>
        <w:rPr>
          <w:rFonts w:hint="eastAsia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 w:bidi="ar-SA"/>
        </w:rPr>
        <w:t>5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 w:bidi="ar-SA"/>
        </w:rPr>
        <w:t>万kWh、25年平均利用小时数1143h</w:t>
      </w:r>
    </w:p>
    <w:p w14:paraId="35B28793">
      <w:pPr>
        <w:pStyle w:val="3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4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/>
        </w:rPr>
        <w:t>建议项目公司协调设计单位等有关各方，项目实施前根据落实的用地批复意见，进一步优化调整组件布置方案，复核发电量。</w:t>
      </w:r>
    </w:p>
    <w:p w14:paraId="6B266CB3">
      <w:pPr>
        <w:keepNext w:val="0"/>
        <w:keepLines w:val="0"/>
        <w:widowControl w:val="0"/>
        <w:adjustRightInd/>
        <w:snapToGrid/>
        <w:spacing w:before="0" w:after="0" w:line="540" w:lineRule="exact"/>
        <w:ind w:firstLine="640" w:firstLineChars="200"/>
        <w:jc w:val="both"/>
        <w:outlineLvl w:val="9"/>
        <w:rPr>
          <w:rFonts w:ascii="黑体" w:hAnsi="黑体" w:eastAsia="黑体"/>
          <w:b w:val="0"/>
          <w:bCs w:val="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</w:rPr>
        <w:t>四、电气</w:t>
      </w:r>
    </w:p>
    <w:p w14:paraId="20383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Cs/>
          <w:sz w:val="32"/>
          <w:szCs w:val="32"/>
        </w:rPr>
      </w:pPr>
      <w:bookmarkStart w:id="0" w:name="_Hlk159320991"/>
      <w:r>
        <w:rPr>
          <w:rFonts w:hint="eastAsia" w:ascii="楷体_GB2312" w:hAnsi="楷体_GB2312" w:eastAsia="楷体_GB2312" w:cs="楷体_GB2312"/>
          <w:bCs/>
          <w:sz w:val="32"/>
          <w:szCs w:val="32"/>
        </w:rPr>
        <w:t>（一）接入系统</w:t>
      </w:r>
    </w:p>
    <w:p w14:paraId="452EF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本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项目拟新建1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座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11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0kV升压站，以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回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11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0kV线路接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至330kV春光变，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送出线路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长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约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17.5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km，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导线截面2×300mm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vertAlign w:val="superscript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。</w:t>
      </w:r>
    </w:p>
    <w:p w14:paraId="51B4C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送出工程暂按项目公司出资建设考虑，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最终以接入系统批复意见为准。</w:t>
      </w:r>
    </w:p>
    <w:p w14:paraId="1739D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Cs/>
          <w:sz w:val="32"/>
          <w:szCs w:val="32"/>
        </w:rPr>
        <w:t>（二）电气主接线</w:t>
      </w:r>
    </w:p>
    <w:p w14:paraId="05D8D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110kV升压站拟建设1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台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0MVA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主变；11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0kV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系统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采用单母线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接线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中性点直接接地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35kV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系统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采用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单母线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接线，中性点经电阻接地。</w:t>
      </w:r>
    </w:p>
    <w:p w14:paraId="3C81E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Cs/>
          <w:sz w:val="32"/>
          <w:szCs w:val="32"/>
        </w:rPr>
        <w:t>（三）光伏集电系统</w:t>
      </w:r>
    </w:p>
    <w:p w14:paraId="2DEAD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val="en-US" w:eastAsia="zh-CN"/>
        </w:rPr>
        <w:t>本项目光伏场区设88个升压单元，以4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回3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kV集电线路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val="en-US" w:eastAsia="zh-CN"/>
        </w:rPr>
        <w:t>接入110kV升压站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。</w:t>
      </w:r>
    </w:p>
    <w:p w14:paraId="76577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集电线路采用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val="en-US" w:eastAsia="zh-CN"/>
        </w:rPr>
        <w:t>架空线路与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电缆直埋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val="en-US" w:eastAsia="zh-CN"/>
        </w:rPr>
        <w:t>相结合的敷设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方案，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val="en-US" w:eastAsia="zh-CN"/>
        </w:rPr>
        <w:t>架空线路约42.8km，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电缆约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val="en-US" w:eastAsia="zh-CN"/>
        </w:rPr>
        <w:t>30.7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km。</w:t>
      </w:r>
    </w:p>
    <w:p w14:paraId="2BC47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</w:rPr>
        <w:t>（四）电气设备选择</w:t>
      </w:r>
    </w:p>
    <w:p w14:paraId="3A096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1.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主变采用三相油浸式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绕组有载调压变压器，容量为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0MVA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额定电压比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115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±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×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1.2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5%/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37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kV，连接组别YNd11，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短路阻抗10.5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%。</w:t>
      </w:r>
    </w:p>
    <w:p w14:paraId="30645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2.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 xml:space="preserve"> 11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0kV配电装置采用户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外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GIS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35kV配电装置采用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户内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金属封闭开关柜。</w:t>
      </w:r>
    </w:p>
    <w:p w14:paraId="0FDE2E0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11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0kV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侧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短路电流按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0kA考虑，35kV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侧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短路电流按31.5kA考虑。</w:t>
      </w:r>
    </w:p>
    <w:p w14:paraId="79110A0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3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kV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母线装设1套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无功补偿装置，容量为±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25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Mvar，采用水冷直挂式。</w:t>
      </w:r>
    </w:p>
    <w:p w14:paraId="27410FB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</w:rPr>
        <w:t>3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</w:rPr>
        <w:t>kV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/>
        </w:rPr>
        <w:t>母线装设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</w:rPr>
        <w:t>1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/>
        </w:rPr>
        <w:t>组接地变，容量为400kVA，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</w:rPr>
        <w:t>接地电阻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/>
        </w:rPr>
        <w:t>107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</w:rPr>
        <w:t>Ω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eastAsia="zh-CN"/>
        </w:rPr>
        <w:t>。</w:t>
      </w:r>
    </w:p>
    <w:p w14:paraId="255F2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</w:rPr>
        <w:t>（五）电气平面布置</w:t>
      </w:r>
    </w:p>
    <w:p w14:paraId="6228A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</w:pPr>
      <w:r>
        <w:rPr>
          <w:rFonts w:hint="eastAsia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同意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110kV升压站布置，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  <w:highlight w:val="none"/>
          <w:lang w:val="en-US" w:eastAsia="zh-CN"/>
        </w:rPr>
        <w:t>主变布置于生产区中部，11</w:t>
      </w:r>
      <w:r>
        <w:rPr>
          <w:rFonts w:hint="default" w:ascii="仿宋_GB2312" w:hAnsi="仿宋_GB2312" w:eastAsia="仿宋_GB2312" w:cs="仿宋_GB2312"/>
          <w:bCs/>
          <w:kern w:val="2"/>
          <w:sz w:val="32"/>
          <w:szCs w:val="32"/>
          <w:highlight w:val="none"/>
          <w:lang w:val="en-US" w:eastAsia="zh-CN"/>
        </w:rPr>
        <w:t>0kV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  <w:highlight w:val="none"/>
          <w:lang w:val="en-US" w:eastAsia="zh-CN"/>
        </w:rPr>
        <w:t>配电装置位于主变东侧，35kV配电装置位于主变西侧，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110kV线路向东出线。</w:t>
      </w:r>
    </w:p>
    <w:p w14:paraId="5EEFE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 w:val="0"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lang w:val="en-US" w:eastAsia="zh-CN"/>
        </w:rPr>
        <w:t>六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</w:rPr>
        <w:t>）站用电系统</w:t>
      </w:r>
    </w:p>
    <w:p w14:paraId="46B41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110kV</w:t>
      </w:r>
      <w:r>
        <w:rPr>
          <w:rFonts w:hint="eastAsia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升压站站用电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工作电源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引接自3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kV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highlight w:val="none"/>
          <w:lang w:val="en-US" w:eastAsia="zh-CN"/>
        </w:rPr>
        <w:t>母线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val="en-US" w:eastAsia="zh-CN"/>
        </w:rPr>
        <w:t>备用电源引接自附近10kV线路，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容量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val="en-US" w:eastAsia="zh-CN"/>
        </w:rPr>
        <w:t>均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为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  <w:lang w:val="en-US" w:eastAsia="zh-CN"/>
        </w:rPr>
        <w:t>315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2"/>
          <w:szCs w:val="32"/>
        </w:rPr>
        <w:t>kVA。</w:t>
      </w:r>
    </w:p>
    <w:p w14:paraId="0642E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Cs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bCs/>
          <w:sz w:val="32"/>
          <w:szCs w:val="32"/>
          <w:lang w:val="en-US" w:eastAsia="zh-CN"/>
        </w:rPr>
        <w:t>七</w:t>
      </w:r>
      <w:r>
        <w:rPr>
          <w:rFonts w:hint="eastAsia" w:ascii="楷体_GB2312" w:hAnsi="楷体_GB2312" w:eastAsia="楷体_GB2312" w:cs="楷体_GB2312"/>
          <w:bCs/>
          <w:sz w:val="32"/>
          <w:szCs w:val="32"/>
        </w:rPr>
        <w:t>）防雷过电压保护及接地</w:t>
      </w:r>
    </w:p>
    <w:p w14:paraId="657F8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val="en-US" w:eastAsia="zh-CN"/>
        </w:rPr>
        <w:t xml:space="preserve">1. 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光伏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场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区防直击雷保护利用光伏组件金属框架或支架作为接闪器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不设置防直击雷装置。</w:t>
      </w:r>
    </w:p>
    <w:p w14:paraId="313E6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Cs/>
          <w:color w:val="FF000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110kV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升压站内布置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1座35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m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独立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避雷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和1座30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m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构架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避雷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针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形成分层防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直击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雷保护。</w:t>
      </w:r>
    </w:p>
    <w:p w14:paraId="2384C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</w:rPr>
        <w:t>2.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光伏场区</w:t>
      </w: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及110kV升压站</w:t>
      </w: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采用水平接地体为主、垂直接地体为辅的复合接地网，光伏场区接地电阻按R&lt;4Ω设计</w:t>
      </w: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110kV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升压站接地电阻按R≤2000/I设计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接地材料选用镀锌扁钢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。</w:t>
      </w:r>
    </w:p>
    <w:p w14:paraId="29B3C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请项目公司在项目实施前委托设计单位，根据详勘资料复核并优化接地方案。</w:t>
      </w:r>
    </w:p>
    <w:p w14:paraId="2DB60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Cs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bCs/>
          <w:sz w:val="32"/>
          <w:szCs w:val="32"/>
          <w:lang w:val="en-US" w:eastAsia="zh-CN"/>
        </w:rPr>
        <w:t>八</w:t>
      </w:r>
      <w:r>
        <w:rPr>
          <w:rFonts w:hint="eastAsia" w:ascii="楷体_GB2312" w:hAnsi="楷体_GB2312" w:eastAsia="楷体_GB2312" w:cs="楷体_GB2312"/>
          <w:bCs/>
          <w:sz w:val="32"/>
          <w:szCs w:val="32"/>
        </w:rPr>
        <w:t>）电气二次</w:t>
      </w:r>
    </w:p>
    <w:p w14:paraId="05C02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1.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110kV升压站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设置1套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计算机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监控系统，对站内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电气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设备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逆变器及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箱变进行监控及调度管理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预留远程集控接口。</w:t>
      </w:r>
    </w:p>
    <w:p w14:paraId="3A388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2.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 xml:space="preserve"> 原则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同意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110kV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升压站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系统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继电保护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安全自动装置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及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调度自动化方案，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</w:rPr>
        <w:t>具体配置以接入系统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  <w:lang w:val="en-US" w:eastAsia="zh-CN"/>
        </w:rPr>
        <w:t>批复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</w:rPr>
        <w:t>意见为准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  <w:t>。</w:t>
      </w:r>
    </w:p>
    <w:p w14:paraId="11647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Cs/>
          <w:kern w:val="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3. 原则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  <w:lang w:val="en-US" w:eastAsia="zh-CN"/>
        </w:rPr>
        <w:t>同意110kV升压站元件保护、控制电源及辅助系统配置方案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</w:rPr>
        <w:t>。</w:t>
      </w:r>
    </w:p>
    <w:p w14:paraId="18721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Cs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bCs/>
          <w:sz w:val="32"/>
          <w:szCs w:val="32"/>
          <w:lang w:val="en-US" w:eastAsia="zh-CN"/>
        </w:rPr>
        <w:t>九</w:t>
      </w:r>
      <w:r>
        <w:rPr>
          <w:rFonts w:hint="eastAsia" w:ascii="楷体_GB2312" w:hAnsi="楷体_GB2312" w:eastAsia="楷体_GB2312" w:cs="楷体_GB2312"/>
          <w:bCs/>
          <w:sz w:val="32"/>
          <w:szCs w:val="32"/>
        </w:rPr>
        <w:t>）通信</w:t>
      </w:r>
    </w:p>
    <w:p w14:paraId="23D1D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原则同意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通信方式、通道组织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及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设备选型</w:t>
      </w:r>
      <w:r>
        <w:rPr>
          <w:rFonts w:hint="eastAsia" w:ascii="仿宋_GB2312" w:hAnsi="仿宋_GB2312" w:eastAsia="仿宋_GB2312" w:cs="仿宋_GB2312"/>
          <w:bCs/>
          <w:sz w:val="32"/>
          <w:szCs w:val="32"/>
          <w:lang w:val="en-US" w:eastAsia="zh-CN"/>
        </w:rPr>
        <w:t>方案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  <w:lang w:val="en-US" w:eastAsia="zh-CN"/>
        </w:rPr>
        <w:t>，最终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</w:rPr>
        <w:t>以接入系统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  <w:lang w:val="en-US" w:eastAsia="zh-CN"/>
        </w:rPr>
        <w:t>批复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</w:rPr>
        <w:t>意见为准</w:t>
      </w:r>
      <w:r>
        <w:rPr>
          <w:rFonts w:hint="eastAsia" w:ascii="仿宋_GB2312" w:hAnsi="仿宋_GB2312" w:eastAsia="仿宋_GB2312" w:cs="仿宋_GB2312"/>
          <w:bCs/>
          <w:sz w:val="32"/>
          <w:szCs w:val="32"/>
        </w:rPr>
        <w:t>。</w:t>
      </w:r>
    </w:p>
    <w:p w14:paraId="1A76E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Cs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bCs/>
          <w:sz w:val="32"/>
          <w:szCs w:val="32"/>
          <w:lang w:val="en-US" w:eastAsia="zh-CN"/>
        </w:rPr>
        <w:t>十</w:t>
      </w:r>
      <w:r>
        <w:rPr>
          <w:rFonts w:hint="eastAsia" w:ascii="楷体_GB2312" w:hAnsi="楷体_GB2312" w:eastAsia="楷体_GB2312" w:cs="楷体_GB2312"/>
          <w:bCs/>
          <w:sz w:val="32"/>
          <w:szCs w:val="32"/>
        </w:rPr>
        <w:t>）计量</w:t>
      </w:r>
    </w:p>
    <w:p w14:paraId="32F15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</w:pP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</w:rPr>
        <w:t>关口计量点设置在升压站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  <w:lang w:val="en-US" w:eastAsia="zh-CN"/>
        </w:rPr>
        <w:t>11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</w:rPr>
        <w:t>0kV出线端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  <w:lang w:val="en-US" w:eastAsia="zh-CN"/>
        </w:rPr>
        <w:t>主变低压侧各回路设置考核计量点，</w:t>
      </w:r>
      <w:r>
        <w:rPr>
          <w:rFonts w:hint="eastAsia" w:ascii="仿宋_GB2312" w:hAnsi="仿宋_GB2312" w:eastAsia="仿宋_GB2312" w:cs="仿宋_GB2312"/>
          <w:bCs/>
          <w:kern w:val="2"/>
          <w:sz w:val="32"/>
          <w:szCs w:val="32"/>
        </w:rPr>
        <w:t>配置电能量远方终端，并附远程抄表器。</w:t>
      </w:r>
    </w:p>
    <w:bookmarkEnd w:id="0"/>
    <w:p w14:paraId="0B87B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b w:val="0"/>
          <w:bCs w:val="0"/>
          <w:kern w:val="44"/>
          <w:sz w:val="32"/>
          <w:szCs w:val="32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44"/>
          <w:sz w:val="32"/>
          <w:szCs w:val="32"/>
          <w:highlight w:val="none"/>
          <w:lang w:val="en-US" w:eastAsia="zh-CN" w:bidi="ar-SA"/>
        </w:rPr>
        <w:t>五、岩土及土建工程</w:t>
      </w:r>
    </w:p>
    <w:p w14:paraId="47A3A580">
      <w:pPr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Cs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Cs/>
          <w:color w:val="auto"/>
          <w:sz w:val="32"/>
          <w:szCs w:val="32"/>
          <w:lang w:eastAsia="zh-CN"/>
        </w:rPr>
        <w:t>（</w:t>
      </w:r>
      <w:r>
        <w:rPr>
          <w:rFonts w:hint="eastAsia" w:ascii="楷体_GB2312" w:hAnsi="楷体_GB2312" w:eastAsia="楷体_GB2312" w:cs="楷体_GB2312"/>
          <w:bCs/>
          <w:color w:val="auto"/>
          <w:sz w:val="32"/>
          <w:szCs w:val="32"/>
          <w:lang w:val="en-US" w:eastAsia="zh-CN"/>
        </w:rPr>
        <w:t>一</w:t>
      </w:r>
      <w:r>
        <w:rPr>
          <w:rFonts w:hint="eastAsia" w:ascii="楷体_GB2312" w:hAnsi="楷体_GB2312" w:eastAsia="楷体_GB2312" w:cs="楷体_GB2312"/>
          <w:bCs/>
          <w:color w:val="auto"/>
          <w:sz w:val="32"/>
          <w:szCs w:val="32"/>
          <w:lang w:eastAsia="zh-CN"/>
        </w:rPr>
        <w:t>）</w:t>
      </w:r>
      <w:r>
        <w:rPr>
          <w:rFonts w:hint="eastAsia" w:ascii="楷体_GB2312" w:hAnsi="楷体_GB2312" w:eastAsia="楷体_GB2312" w:cs="楷体_GB2312"/>
          <w:bCs/>
          <w:color w:val="auto"/>
          <w:sz w:val="32"/>
          <w:szCs w:val="32"/>
        </w:rPr>
        <w:t>工程</w:t>
      </w:r>
      <w:r>
        <w:rPr>
          <w:rFonts w:hint="eastAsia" w:ascii="楷体_GB2312" w:hAnsi="楷体_GB2312" w:eastAsia="楷体_GB2312" w:cs="楷体_GB2312"/>
          <w:bCs/>
          <w:color w:val="auto"/>
          <w:sz w:val="32"/>
          <w:szCs w:val="32"/>
          <w:lang w:val="en-US" w:eastAsia="zh-CN"/>
        </w:rPr>
        <w:t>地质</w:t>
      </w:r>
    </w:p>
    <w:p w14:paraId="425FF30D">
      <w:pPr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1.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拟建升压站建设场地为矩形，各个勘探孔口标高介于321.57m～321.64m之间，最大高差0.1m。拟建升压站场区所属地貌单元为渭北冲积平原，现状主要为农田耕地。</w:t>
      </w:r>
    </w:p>
    <w:p w14:paraId="0B67C052">
      <w:pPr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2.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《中国地震动峰值加速度区划图》，在II类场地条件下，拟建场区抗震设防烈度8度，基本地震加速度值0.20g，设计地震分组为第二组，地震动反应谱特征值0.40s。</w:t>
      </w:r>
    </w:p>
    <w:p w14:paraId="37CD34E5">
      <w:pPr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3.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根据本次勘察揭露地层，结合区域地质资料综合分析，光伏场区和升压站地基土沉积时代成因类型自上而下依次为：黄土状土、粉质黏土、粉土等。该场地为非湿陷性黄土场地，可按一般地区的规定设计。</w:t>
      </w:r>
    </w:p>
    <w:p w14:paraId="70C6C512">
      <w:pPr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4.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本次勘察期间实测场地地下水稳定水位埋深2.00～2.40m，水位高程277.66～319.34m，属第四系松散层孔隙潜水，勘察期间为年平水期水位。</w:t>
      </w:r>
    </w:p>
    <w:p w14:paraId="185999CB">
      <w:pPr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据区域水文地质资料，地下水位年变幅为1.5～2.0m左右。拟建建筑物抗浮设防水位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暂按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321.00考虑。</w:t>
      </w:r>
    </w:p>
    <w:p w14:paraId="66C8BA12">
      <w:pPr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5.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结合邻近项目勘测成果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场址区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地基土对混凝土结构具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"/>
        </w:rPr>
        <w:t>有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弱腐蚀性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 w:bidi="ar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对钢筋混凝土结构中的钢筋具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"/>
        </w:rPr>
        <w:t>有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微腐蚀性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 w:bidi="ar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对钢结构具有强腐蚀性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 w:bidi="ar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地下水对混凝土结构具有弱腐蚀性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 w:bidi="ar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对钢筋混凝土结构中的钢筋在长期浸蚀及干湿交替条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 w:bidi="ar"/>
        </w:rPr>
        <w:t>件下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具有微腐蚀性。</w:t>
      </w:r>
    </w:p>
    <w:p w14:paraId="447DC0C0">
      <w:pPr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bidi="ar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lang w:bidi="ar"/>
        </w:rPr>
        <w:t>结合本地区工程经验，不排除局部地段存在轻微湿陷性黄土，湿陷等级可按Ⅰ级（轻微，非自重湿陷场地）考虑，湿陷土层下限深度不深于地下水位。</w:t>
      </w:r>
    </w:p>
    <w:p w14:paraId="20261933">
      <w:pPr>
        <w:pStyle w:val="20"/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left="0" w:lef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 w:bidi="ar"/>
        </w:rPr>
        <w:t xml:space="preserve">7. </w:t>
      </w:r>
      <w:r>
        <w:rPr>
          <w:rFonts w:hint="eastAsia" w:ascii="仿宋_GB2312" w:hAnsi="仿宋_GB2312" w:eastAsia="仿宋_GB2312" w:cs="仿宋_GB2312"/>
          <w:sz w:val="32"/>
          <w:szCs w:val="32"/>
        </w:rPr>
        <w:t>升压站位于开阔平原地带，场地较平整，地势北侧高，南侧低。结合项目地历年来最高洪水位及水文报告，升压站50年一遇洪水位为354.0m。</w:t>
      </w:r>
    </w:p>
    <w:p w14:paraId="20B6787F">
      <w:pPr>
        <w:pStyle w:val="20"/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left="0" w:lef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综合考虑1.5m的安全超高，升压站设计场平标高定为355.50m。</w:t>
      </w:r>
    </w:p>
    <w:p w14:paraId="7F11E2F4">
      <w:pPr>
        <w:pStyle w:val="20"/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left="0" w:lef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建议项目公司下阶段委托有资质的第三方编制项目水文分析报告，明确项目升压站的洪涝水位，并复核可研报告升压站的地坪标高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确保项目投产后安全稳定运行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 w14:paraId="2C8DDF7A">
      <w:pPr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楷体_GB2312" w:hAnsi="楷体_GB2312" w:eastAsia="楷体_GB2312" w:cs="楷体_GB2312"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Cs/>
          <w:color w:val="auto"/>
          <w:sz w:val="32"/>
          <w:szCs w:val="32"/>
        </w:rPr>
        <w:t>（二）土建工程</w:t>
      </w:r>
    </w:p>
    <w:p w14:paraId="5769FA20">
      <w:pPr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 xml:space="preserve">1.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项目场址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区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25年一遇基本风压0.33kN/m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vertAlign w:val="superscript"/>
        </w:rPr>
        <w:t>2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基本雪压0.24k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N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/m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vertAlign w:val="superscript"/>
        </w:rPr>
        <w:t>2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；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50年一遇基本风压0.4kN/m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vertAlign w:val="superscript"/>
        </w:rPr>
        <w:t>2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基本雪压0.25k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N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/m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vertAlign w:val="superscript"/>
        </w:rPr>
        <w:t>2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。</w:t>
      </w:r>
    </w:p>
    <w:p w14:paraId="7FC79C54">
      <w:pPr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pacing w:val="-6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2. 根</w:t>
      </w:r>
      <w:r>
        <w:rPr>
          <w:rFonts w:hint="eastAsia" w:ascii="仿宋_GB2312" w:hAnsi="仿宋_GB2312" w:eastAsia="仿宋_GB2312" w:cs="仿宋_GB2312"/>
          <w:color w:val="000000"/>
          <w:spacing w:val="-6"/>
          <w:sz w:val="32"/>
          <w:szCs w:val="32"/>
          <w:lang w:val="en-US" w:eastAsia="zh-CN"/>
        </w:rPr>
        <w:t>据</w:t>
      </w:r>
      <w:r>
        <w:rPr>
          <w:rFonts w:hint="eastAsia" w:ascii="仿宋_GB2312" w:hAnsi="仿宋_GB2312" w:eastAsia="仿宋_GB2312" w:cs="仿宋_GB2312"/>
          <w:color w:val="000000"/>
          <w:spacing w:val="-6"/>
          <w:sz w:val="32"/>
          <w:szCs w:val="32"/>
        </w:rPr>
        <w:t>项目排碱渠现状，渠</w:t>
      </w:r>
      <w:r>
        <w:rPr>
          <w:rFonts w:hint="eastAsia" w:ascii="仿宋_GB2312" w:hAnsi="仿宋_GB2312" w:eastAsia="仿宋_GB2312" w:cs="仿宋_GB2312"/>
          <w:color w:val="000000"/>
          <w:spacing w:val="-6"/>
          <w:sz w:val="32"/>
          <w:szCs w:val="32"/>
          <w:highlight w:val="none"/>
        </w:rPr>
        <w:t>道宽度在</w:t>
      </w:r>
      <w:r>
        <w:rPr>
          <w:rFonts w:hint="eastAsia" w:ascii="仿宋_GB2312" w:hAnsi="仿宋_GB2312" w:eastAsia="仿宋_GB2312" w:cs="仿宋_GB2312"/>
          <w:color w:val="000000"/>
          <w:spacing w:val="-6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000000"/>
          <w:spacing w:val="-6"/>
          <w:sz w:val="32"/>
          <w:szCs w:val="32"/>
          <w:highlight w:val="none"/>
        </w:rPr>
        <w:t>～25米之间，拟利用渠道宽度不大于25米</w:t>
      </w:r>
      <w:r>
        <w:rPr>
          <w:rFonts w:hint="eastAsia" w:ascii="仿宋_GB2312" w:hAnsi="仿宋_GB2312" w:eastAsia="仿宋_GB2312" w:cs="仿宋_GB2312"/>
          <w:color w:val="000000"/>
          <w:spacing w:val="-6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  <w:spacing w:val="-6"/>
          <w:sz w:val="32"/>
          <w:szCs w:val="32"/>
          <w:highlight w:val="none"/>
        </w:rPr>
        <w:t>支架跨渠布置，桩基</w:t>
      </w:r>
      <w:r>
        <w:rPr>
          <w:rFonts w:hint="eastAsia" w:ascii="仿宋_GB2312" w:hAnsi="仿宋_GB2312" w:eastAsia="仿宋_GB2312" w:cs="仿宋_GB2312"/>
          <w:color w:val="000000"/>
          <w:spacing w:val="-6"/>
          <w:sz w:val="32"/>
          <w:szCs w:val="32"/>
        </w:rPr>
        <w:t>础在渠道顶部，距离渠边0.5～1.0米。根据渠道走向及渠道宽度，设计多种支架。</w:t>
      </w:r>
    </w:p>
    <w:p w14:paraId="2999D792">
      <w:pPr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南北向渠道布置有7</w:t>
      </w:r>
      <w:r>
        <w:rPr>
          <w:rFonts w:hint="default" w:ascii="Arial" w:hAnsi="Arial" w:eastAsia="仿宋_GB2312" w:cs="Arial"/>
          <w:color w:val="000000"/>
          <w:sz w:val="32"/>
          <w:szCs w:val="32"/>
        </w:rPr>
        <w:t>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8、7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9、7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10、7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12、7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16五种支架形式，倾角均为5°。</w:t>
      </w:r>
    </w:p>
    <w:p w14:paraId="02A39B63">
      <w:pPr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东西向渠道布置有3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14、4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14、5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14、6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14、7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17五种支架形式，其中3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14、4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14支架倾角15°，5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14支架倾角10°，6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14、7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14支架倾角8°。</w:t>
      </w:r>
    </w:p>
    <w:p w14:paraId="4DAA255B">
      <w:pPr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 xml:space="preserve">3.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本项目采用一般固定支架及大跨度支架，一般固定支架装机容量17.3628MWp，大跨度支架装机容量102.648MWp。对于小跨度支架（3～4排组件），采用双立柱加斜撑钢架结构，平面外设置纵向支撑体系，提供侧向支撑稳定；对跨度较大支架（5～7排组件），组件支撑采用轻型钢桁架结构方案。本项目光伏支架钢材量共计4934.265t。</w:t>
      </w:r>
    </w:p>
    <w:p w14:paraId="5BC68369">
      <w:pPr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4. 支架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基础拟采用预应力高强混凝土管桩，桩型拟定为PHC-400-AB-95，管桩顶露出地面高度均为1.5m，埋入地下的深度为3.5m，单桩桩长5米，总桩长为111750米。</w:t>
      </w:r>
    </w:p>
    <w:p w14:paraId="4FFF174C">
      <w:pPr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 xml:space="preserve">5.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箱变基础采用预制管桩+钢平台的结构形式，基础钢平台高出地面约1.2m。</w:t>
      </w:r>
    </w:p>
    <w:p w14:paraId="46587681">
      <w:pPr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 xml:space="preserve">6.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项目光伏区围栏高1.5m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长106km。</w:t>
      </w:r>
    </w:p>
    <w:p w14:paraId="5C5B0DA2"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before="0" w:after="0" w:line="54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 xml:space="preserve">7.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拟建110kV升压站围墙内用地面积为3526.82m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vertAlign w:val="superscript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升压站内舱体形式建筑包含：生活舱、危废舱、一次设备预制舱(43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m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vertAlign w:val="superscript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)、二次设备预制舱。</w:t>
      </w:r>
    </w:p>
    <w:p w14:paraId="0A4936A9"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before="0" w:after="0" w:line="54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（1）原则同意升压站地基采用天然地基，但需结合场地防洪涝的地坪标高，</w:t>
      </w:r>
      <w:bookmarkStart w:id="1" w:name="OLE_LINK2"/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升压站场地需做好排水</w:t>
      </w:r>
      <w:bookmarkEnd w:id="1"/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。</w:t>
      </w:r>
    </w:p>
    <w:p w14:paraId="15BC65BA"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before="0" w:after="0" w:line="54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（3）主变基础采用现浇钢筋混凝土筏板基础，GIS设备采用大块式钢筋混凝土基础，事故油池采用地埋式钢筋混凝土箱形结构，预制舱基础采用钢筋混凝土箱型结构。</w:t>
      </w:r>
    </w:p>
    <w:p w14:paraId="2308751B"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before="0" w:after="0" w:line="54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（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）110kV架构、主变架构采用钢环杆，三角形空间钢桁架梁，素混凝土杯形基础。</w:t>
      </w:r>
    </w:p>
    <w:p w14:paraId="1B4BD610"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before="0" w:after="0" w:line="540" w:lineRule="exact"/>
        <w:ind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（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）升压站室外钢构件采用整体热镀锌防腐，锌层厚度≥85μm。</w:t>
      </w:r>
    </w:p>
    <w:p w14:paraId="11CC6BD5">
      <w:pPr>
        <w:keepNext w:val="0"/>
        <w:keepLines w:val="0"/>
        <w:widowControl w:val="0"/>
        <w:adjustRightInd/>
        <w:snapToGrid/>
        <w:spacing w:before="0" w:after="0" w:line="540" w:lineRule="exact"/>
        <w:ind w:firstLine="640" w:firstLineChars="200"/>
        <w:jc w:val="both"/>
        <w:outlineLvl w:val="9"/>
        <w:rPr>
          <w:rFonts w:ascii="黑体" w:hAnsi="黑体" w:eastAsia="黑体" w:cs="黑体"/>
          <w:b w:val="0"/>
          <w:bCs w:val="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六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</w:rPr>
        <w:t>、施工组织</w:t>
      </w:r>
    </w:p>
    <w:p w14:paraId="54F89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Cs/>
          <w:sz w:val="32"/>
          <w:szCs w:val="32"/>
        </w:rPr>
        <w:t>（一）施工用电、用水</w:t>
      </w:r>
    </w:p>
    <w:p w14:paraId="772D9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项目施工用电由附近10kV线路引接，引接距离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1.0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km。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并配备一台100kW的柴发；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施工用水水源距离场址区约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2.0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km，采用水车拉水方式。</w:t>
      </w:r>
    </w:p>
    <w:p w14:paraId="1110B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Cs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Cs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bCs/>
          <w:sz w:val="32"/>
          <w:szCs w:val="32"/>
          <w:lang w:val="en-US" w:eastAsia="zh-CN"/>
        </w:rPr>
        <w:t>二</w:t>
      </w:r>
      <w:r>
        <w:rPr>
          <w:rFonts w:hint="eastAsia" w:ascii="楷体_GB2312" w:hAnsi="楷体_GB2312" w:eastAsia="楷体_GB2312" w:cs="楷体_GB2312"/>
          <w:bCs/>
          <w:sz w:val="32"/>
          <w:szCs w:val="32"/>
        </w:rPr>
        <w:t>）道路</w:t>
      </w:r>
      <w:r>
        <w:rPr>
          <w:rFonts w:hint="eastAsia" w:ascii="楷体_GB2312" w:hAnsi="楷体_GB2312" w:eastAsia="楷体_GB2312" w:cs="楷体_GB2312"/>
          <w:bCs/>
          <w:sz w:val="32"/>
          <w:szCs w:val="32"/>
          <w:lang w:val="en-US" w:eastAsia="zh-CN"/>
        </w:rPr>
        <w:t>运输</w:t>
      </w:r>
    </w:p>
    <w:p w14:paraId="07032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对外交通</w:t>
      </w:r>
    </w:p>
    <w:p w14:paraId="69D76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val="en-US" w:eastAsia="zh-CN"/>
        </w:rPr>
        <w:t>项目场址区临近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G5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val="en-US" w:eastAsia="zh-CN"/>
        </w:rPr>
        <w:t>京昆高速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、G108国道、G6521国道、S108省道、S201省道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交通便利，满足大件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设备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运输要求。</w:t>
      </w:r>
    </w:p>
    <w:p w14:paraId="2071F02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进场道路</w:t>
      </w:r>
    </w:p>
    <w:p w14:paraId="3CFF7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</w:rPr>
        <w:t>项目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进场道路由已有道路引接，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满足设备运输要求，暂不考虑道路改造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。</w:t>
      </w:r>
    </w:p>
    <w:p w14:paraId="1226B94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 xml:space="preserve">场内道路 </w:t>
      </w:r>
    </w:p>
    <w:p w14:paraId="11541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项目光伏场区新建场内道路约1.5km，改建道路约13.5km，采用泥结碎石路面，路基宽4.5m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路面宽3.5m。</w:t>
      </w:r>
    </w:p>
    <w:p w14:paraId="78FB425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进站道路</w:t>
      </w:r>
    </w:p>
    <w:p w14:paraId="403C9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项目进站道路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约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20m，采用混凝土路面，路基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宽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5.5m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路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面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宽4.5m。</w:t>
      </w:r>
    </w:p>
    <w:p w14:paraId="4B610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Cs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bCs/>
          <w:sz w:val="32"/>
          <w:szCs w:val="32"/>
          <w:highlight w:val="none"/>
        </w:rPr>
        <w:t>（</w:t>
      </w:r>
      <w:r>
        <w:rPr>
          <w:rFonts w:hint="eastAsia" w:ascii="楷体_GB2312" w:hAnsi="楷体_GB2312" w:eastAsia="楷体_GB2312" w:cs="楷体_GB2312"/>
          <w:bCs/>
          <w:sz w:val="32"/>
          <w:szCs w:val="32"/>
          <w:highlight w:val="none"/>
          <w:lang w:val="en-US" w:eastAsia="zh-CN"/>
        </w:rPr>
        <w:t>三</w:t>
      </w:r>
      <w:r>
        <w:rPr>
          <w:rFonts w:hint="eastAsia" w:ascii="楷体_GB2312" w:hAnsi="楷体_GB2312" w:eastAsia="楷体_GB2312" w:cs="楷体_GB2312"/>
          <w:bCs/>
          <w:sz w:val="32"/>
          <w:szCs w:val="32"/>
          <w:highlight w:val="none"/>
        </w:rPr>
        <w:t>）土石方平衡</w:t>
      </w:r>
    </w:p>
    <w:p w14:paraId="768FDF98">
      <w:pPr>
        <w:widowControl w:val="0"/>
        <w:adjustRightInd w:val="0"/>
        <w:snapToGrid w:val="0"/>
        <w:spacing w:line="580" w:lineRule="exact"/>
        <w:ind w:firstLine="640" w:firstLineChars="200"/>
        <w:jc w:val="both"/>
        <w:rPr>
          <w:rFonts w:hint="default" w:ascii="仿宋_GB2312" w:hAnsi="仿宋_GB2312" w:eastAsia="仿宋_GB2312"/>
          <w:spacing w:val="6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/>
          <w:sz w:val="32"/>
          <w:szCs w:val="32"/>
          <w:highlight w:val="none"/>
        </w:rPr>
        <w:t>1</w:t>
      </w:r>
      <w:r>
        <w:rPr>
          <w:rFonts w:ascii="仿宋_GB2312" w:hAnsi="仿宋_GB2312" w:eastAsia="仿宋_GB2312"/>
          <w:sz w:val="32"/>
          <w:szCs w:val="32"/>
          <w:highlight w:val="none"/>
        </w:rPr>
        <w:t>.</w:t>
      </w:r>
      <w:r>
        <w:rPr>
          <w:rFonts w:hint="eastAsia" w:ascii="仿宋_GB2312" w:hAnsi="仿宋_GB2312" w:eastAsia="仿宋_GB2312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/>
          <w:spacing w:val="6"/>
          <w:sz w:val="32"/>
          <w:szCs w:val="32"/>
          <w:highlight w:val="none"/>
          <w:lang w:val="en-US" w:eastAsia="zh-CN"/>
        </w:rPr>
        <w:t>已完成编制水土保持专题报告，并取得水保批复。</w:t>
      </w:r>
    </w:p>
    <w:p w14:paraId="5D729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水保专题中全场土石方开挖量约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6.32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万方，回填量约</w:t>
      </w:r>
      <w:r>
        <w:rPr>
          <w:rFonts w:hint="eastAsia" w:ascii="仿宋_GB2312" w:hAnsi="仿宋_GB2312" w:eastAsia="仿宋_GB2312" w:cs="仿宋_GB2312"/>
          <w:bCs/>
          <w:sz w:val="32"/>
          <w:szCs w:val="32"/>
          <w:highlight w:val="none"/>
          <w:lang w:val="en-US" w:eastAsia="zh-CN"/>
        </w:rPr>
        <w:t>6.32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万方。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  <w:lang w:val="en-US" w:eastAsia="zh-CN"/>
        </w:rPr>
        <w:t>土石方平衡方案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与水保专题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  <w:lang w:val="en-US" w:eastAsia="zh-CN"/>
        </w:rPr>
        <w:t>方案</w:t>
      </w:r>
      <w:r>
        <w:rPr>
          <w:rFonts w:hint="eastAsia" w:ascii="仿宋_GB2312" w:hAnsi="仿宋_GB2312" w:eastAsia="仿宋_GB2312"/>
          <w:color w:val="auto"/>
          <w:sz w:val="32"/>
          <w:szCs w:val="32"/>
          <w:highlight w:val="none"/>
        </w:rPr>
        <w:t>一致。</w:t>
      </w:r>
    </w:p>
    <w:p w14:paraId="22143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楷体_GB2312" w:hAnsi="楷体_GB2312" w:eastAsia="楷体_GB2312" w:cs="楷体_GB2312"/>
          <w:bCs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bCs/>
          <w:sz w:val="32"/>
          <w:szCs w:val="32"/>
          <w:highlight w:val="none"/>
        </w:rPr>
        <w:t>（</w:t>
      </w:r>
      <w:r>
        <w:rPr>
          <w:rFonts w:hint="eastAsia" w:ascii="楷体_GB2312" w:hAnsi="楷体_GB2312" w:eastAsia="楷体_GB2312" w:cs="楷体_GB2312"/>
          <w:bCs/>
          <w:sz w:val="32"/>
          <w:szCs w:val="32"/>
          <w:highlight w:val="none"/>
          <w:lang w:val="en-US" w:eastAsia="zh-CN"/>
        </w:rPr>
        <w:t>四</w:t>
      </w:r>
      <w:r>
        <w:rPr>
          <w:rFonts w:hint="eastAsia" w:ascii="楷体_GB2312" w:hAnsi="楷体_GB2312" w:eastAsia="楷体_GB2312" w:cs="楷体_GB2312"/>
          <w:bCs/>
          <w:sz w:val="32"/>
          <w:szCs w:val="32"/>
          <w:highlight w:val="none"/>
        </w:rPr>
        <w:t>）项目用地</w:t>
      </w:r>
    </w:p>
    <w:p w14:paraId="6AECD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项目永久用地暂按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7.131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亩考虑。</w:t>
      </w:r>
    </w:p>
    <w:p w14:paraId="00DFA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项目用地面积及单价表。</w:t>
      </w:r>
    </w:p>
    <w:tbl>
      <w:tblPr>
        <w:tblStyle w:val="2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"/>
        <w:gridCol w:w="1200"/>
        <w:gridCol w:w="2676"/>
        <w:gridCol w:w="1945"/>
        <w:gridCol w:w="1836"/>
      </w:tblGrid>
      <w:tr w14:paraId="3855685F">
        <w:trPr>
          <w:trHeight w:val="608" w:hRule="atLeast"/>
          <w:jc w:val="center"/>
        </w:trPr>
        <w:tc>
          <w:tcPr>
            <w:tcW w:w="865" w:type="dxa"/>
            <w:vAlign w:val="center"/>
          </w:tcPr>
          <w:p w14:paraId="377F2125">
            <w:pPr>
              <w:widowControl w:val="0"/>
              <w:jc w:val="center"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序号</w:t>
            </w:r>
          </w:p>
        </w:tc>
        <w:tc>
          <w:tcPr>
            <w:tcW w:w="1200" w:type="dxa"/>
            <w:vAlign w:val="center"/>
          </w:tcPr>
          <w:p w14:paraId="3AB4B2BB">
            <w:pPr>
              <w:widowControl w:val="0"/>
              <w:jc w:val="center"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地类</w:t>
            </w:r>
          </w:p>
        </w:tc>
        <w:tc>
          <w:tcPr>
            <w:tcW w:w="2676" w:type="dxa"/>
            <w:vAlign w:val="center"/>
          </w:tcPr>
          <w:p w14:paraId="2889B479">
            <w:pPr>
              <w:widowControl w:val="0"/>
              <w:jc w:val="center"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位置</w:t>
            </w:r>
          </w:p>
        </w:tc>
        <w:tc>
          <w:tcPr>
            <w:tcW w:w="1945" w:type="dxa"/>
            <w:vAlign w:val="center"/>
          </w:tcPr>
          <w:p w14:paraId="30DAAFCC">
            <w:pPr>
              <w:widowControl w:val="0"/>
              <w:jc w:val="center"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用地面积（亩）</w:t>
            </w:r>
          </w:p>
        </w:tc>
        <w:tc>
          <w:tcPr>
            <w:tcW w:w="1836" w:type="dxa"/>
            <w:vAlign w:val="center"/>
          </w:tcPr>
          <w:p w14:paraId="6CA1C166">
            <w:pPr>
              <w:widowControl w:val="0"/>
              <w:jc w:val="center"/>
              <w:rPr>
                <w:rFonts w:ascii="仿宋_GB2312" w:hAnsi="仿宋_GB2312" w:eastAsia="仿宋_GB2312" w:cs="仿宋_GB2312"/>
                <w:b/>
                <w:bCs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highlight w:val="none"/>
              </w:rPr>
              <w:t>单价</w:t>
            </w:r>
          </w:p>
        </w:tc>
      </w:tr>
      <w:tr w14:paraId="69FED687">
        <w:trPr>
          <w:trHeight w:val="680" w:hRule="exact"/>
          <w:jc w:val="center"/>
        </w:trPr>
        <w:tc>
          <w:tcPr>
            <w:tcW w:w="865" w:type="dxa"/>
            <w:vAlign w:val="center"/>
          </w:tcPr>
          <w:p w14:paraId="021F9925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1</w:t>
            </w:r>
          </w:p>
        </w:tc>
        <w:tc>
          <w:tcPr>
            <w:tcW w:w="1200" w:type="dxa"/>
            <w:vAlign w:val="center"/>
          </w:tcPr>
          <w:p w14:paraId="18E17766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永久征地</w:t>
            </w:r>
          </w:p>
        </w:tc>
        <w:tc>
          <w:tcPr>
            <w:tcW w:w="2676" w:type="dxa"/>
            <w:vAlign w:val="center"/>
          </w:tcPr>
          <w:p w14:paraId="24FB600D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升压站</w:t>
            </w:r>
            <w:r>
              <w:rPr>
                <w:rFonts w:hint="eastAsia" w:ascii="仿宋_GB2312" w:hAnsi="仿宋_GB2312" w:eastAsia="仿宋_GB2312" w:cs="仿宋_GB2312"/>
                <w:highlight w:val="none"/>
              </w:rPr>
              <w:tab/>
            </w:r>
          </w:p>
        </w:tc>
        <w:tc>
          <w:tcPr>
            <w:tcW w:w="1945" w:type="dxa"/>
            <w:vAlign w:val="center"/>
          </w:tcPr>
          <w:p w14:paraId="4A65ACC7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7.13</w:t>
            </w:r>
          </w:p>
        </w:tc>
        <w:tc>
          <w:tcPr>
            <w:tcW w:w="1836" w:type="dxa"/>
            <w:vAlign w:val="center"/>
          </w:tcPr>
          <w:p w14:paraId="500AC98E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30万元/亩</w:t>
            </w:r>
          </w:p>
        </w:tc>
      </w:tr>
      <w:tr w14:paraId="0581EBA8">
        <w:trPr>
          <w:trHeight w:val="647" w:hRule="exact"/>
          <w:jc w:val="center"/>
        </w:trPr>
        <w:tc>
          <w:tcPr>
            <w:tcW w:w="865" w:type="dxa"/>
            <w:vAlign w:val="center"/>
          </w:tcPr>
          <w:p w14:paraId="0CFB6E67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2</w:t>
            </w:r>
          </w:p>
        </w:tc>
        <w:tc>
          <w:tcPr>
            <w:tcW w:w="1200" w:type="dxa"/>
            <w:vAlign w:val="center"/>
          </w:tcPr>
          <w:p w14:paraId="60C6309A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长期租地</w:t>
            </w:r>
          </w:p>
        </w:tc>
        <w:tc>
          <w:tcPr>
            <w:tcW w:w="2676" w:type="dxa"/>
            <w:vAlign w:val="center"/>
          </w:tcPr>
          <w:p w14:paraId="7AAE1652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光伏阵列区（排碱渠）</w:t>
            </w:r>
          </w:p>
        </w:tc>
        <w:tc>
          <w:tcPr>
            <w:tcW w:w="1945" w:type="dxa"/>
            <w:vAlign w:val="center"/>
          </w:tcPr>
          <w:p w14:paraId="228DECA1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1650</w:t>
            </w:r>
          </w:p>
        </w:tc>
        <w:tc>
          <w:tcPr>
            <w:tcW w:w="1836" w:type="dxa"/>
            <w:vAlign w:val="center"/>
          </w:tcPr>
          <w:p w14:paraId="2D4F3212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300万元/年</w:t>
            </w:r>
          </w:p>
        </w:tc>
      </w:tr>
      <w:tr w14:paraId="70E989E7">
        <w:trPr>
          <w:trHeight w:val="567" w:hRule="exact"/>
          <w:jc w:val="center"/>
        </w:trPr>
        <w:tc>
          <w:tcPr>
            <w:tcW w:w="865" w:type="dxa"/>
            <w:vAlign w:val="center"/>
          </w:tcPr>
          <w:p w14:paraId="35B9B35A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3</w:t>
            </w:r>
          </w:p>
        </w:tc>
        <w:tc>
          <w:tcPr>
            <w:tcW w:w="1200" w:type="dxa"/>
            <w:vAlign w:val="center"/>
          </w:tcPr>
          <w:p w14:paraId="797349D8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长期租地</w:t>
            </w:r>
          </w:p>
        </w:tc>
        <w:tc>
          <w:tcPr>
            <w:tcW w:w="2676" w:type="dxa"/>
            <w:vAlign w:val="center"/>
          </w:tcPr>
          <w:p w14:paraId="06E7A28F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箱变、检修道路及塔基</w:t>
            </w:r>
          </w:p>
        </w:tc>
        <w:tc>
          <w:tcPr>
            <w:tcW w:w="1945" w:type="dxa"/>
            <w:vAlign w:val="center"/>
          </w:tcPr>
          <w:p w14:paraId="22BFE4FC">
            <w:pPr>
              <w:widowControl w:val="0"/>
              <w:jc w:val="center"/>
              <w:rPr>
                <w:rFonts w:hint="eastAsia"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114.48</w:t>
            </w:r>
          </w:p>
        </w:tc>
        <w:tc>
          <w:tcPr>
            <w:tcW w:w="1836" w:type="dxa"/>
            <w:vAlign w:val="center"/>
          </w:tcPr>
          <w:p w14:paraId="10A908B4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4.25万元/亩</w:t>
            </w:r>
          </w:p>
        </w:tc>
      </w:tr>
      <w:tr w14:paraId="546C261F">
        <w:trPr>
          <w:trHeight w:val="567" w:hRule="exact"/>
          <w:jc w:val="center"/>
        </w:trPr>
        <w:tc>
          <w:tcPr>
            <w:tcW w:w="865" w:type="dxa"/>
            <w:vAlign w:val="center"/>
          </w:tcPr>
          <w:p w14:paraId="025706AF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4</w:t>
            </w:r>
          </w:p>
        </w:tc>
        <w:tc>
          <w:tcPr>
            <w:tcW w:w="1200" w:type="dxa"/>
            <w:vAlign w:val="center"/>
          </w:tcPr>
          <w:p w14:paraId="58A2B8D9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临时租地</w:t>
            </w:r>
          </w:p>
        </w:tc>
        <w:tc>
          <w:tcPr>
            <w:tcW w:w="2676" w:type="dxa"/>
            <w:vAlign w:val="center"/>
          </w:tcPr>
          <w:p w14:paraId="256D26E1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临建区</w:t>
            </w:r>
          </w:p>
        </w:tc>
        <w:tc>
          <w:tcPr>
            <w:tcW w:w="1945" w:type="dxa"/>
            <w:vAlign w:val="center"/>
          </w:tcPr>
          <w:p w14:paraId="0404BA4D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8.85</w:t>
            </w:r>
          </w:p>
        </w:tc>
        <w:tc>
          <w:tcPr>
            <w:tcW w:w="1836" w:type="dxa"/>
            <w:vAlign w:val="center"/>
          </w:tcPr>
          <w:p w14:paraId="0C768E43">
            <w:pPr>
              <w:widowControl w:val="0"/>
              <w:jc w:val="center"/>
              <w:rPr>
                <w:rFonts w:ascii="仿宋_GB2312" w:hAnsi="仿宋_GB2312" w:eastAsia="仿宋_GB2312" w:cs="仿宋_GB2312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highlight w:val="none"/>
              </w:rPr>
              <w:t>900元/（亩·年）</w:t>
            </w:r>
          </w:p>
        </w:tc>
      </w:tr>
    </w:tbl>
    <w:p w14:paraId="3B5EB485">
      <w:pPr>
        <w:keepNext w:val="0"/>
        <w:keepLines w:val="0"/>
        <w:widowControl w:val="0"/>
        <w:adjustRightInd/>
        <w:snapToGrid/>
        <w:spacing w:before="0" w:beforeLines="0" w:after="0" w:afterLines="0" w:line="580" w:lineRule="exact"/>
        <w:ind w:firstLine="640" w:firstLineChars="200"/>
        <w:jc w:val="both"/>
        <w:outlineLvl w:val="9"/>
        <w:rPr>
          <w:rFonts w:ascii="黑体" w:hAnsi="黑体" w:eastAsia="黑体"/>
          <w:b w:val="0"/>
          <w:bCs w:val="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七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</w:rPr>
        <w:t>、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项目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</w:rPr>
        <w:t>概算</w:t>
      </w:r>
    </w:p>
    <w:p w14:paraId="1830FD26">
      <w:pPr>
        <w:pStyle w:val="36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beforeLines="0" w:afterLines="0"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yellow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</w:rPr>
        <w:t>（一）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val="en-US" w:eastAsia="zh-CN"/>
        </w:rPr>
        <w:t>原则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</w:rPr>
        <w:t>同意概算的编制原则及依据，费用标准和定额体系参考《光伏发电工程设计概算编制规定及费用标准》（2016年版）和《光伏发电工程概算定额》（2016年版）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静态投资采用202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年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3季度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价格水平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编制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。</w:t>
      </w:r>
    </w:p>
    <w:p w14:paraId="1B5277D3">
      <w:pPr>
        <w:pStyle w:val="36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beforeLines="0" w:afterLines="0"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/>
          <w:color w:val="auto"/>
          <w:kern w:val="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（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二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）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highlight w:val="none"/>
        </w:rPr>
        <w:t>原则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highlight w:val="none"/>
          <w:lang w:eastAsia="zh-CN"/>
        </w:rPr>
        <w:t>同意</w:t>
      </w:r>
      <w:r>
        <w:rPr>
          <w:rFonts w:hint="eastAsia" w:ascii="仿宋_GB2312" w:hAnsi="仿宋_GB2312" w:eastAsia="仿宋_GB2312"/>
          <w:kern w:val="2"/>
          <w:sz w:val="32"/>
          <w:szCs w:val="32"/>
          <w:highlight w:val="none"/>
        </w:rPr>
        <w:t>本阶段设计单位推荐采用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650</w:t>
      </w:r>
      <w:r>
        <w:rPr>
          <w:rFonts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W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</w:rPr>
        <w:t>p</w:t>
      </w:r>
      <w:r>
        <w:rPr>
          <w:rFonts w:ascii="仿宋_GB2312" w:hAnsi="仿宋_GB2312" w:eastAsia="仿宋_GB2312"/>
          <w:kern w:val="2"/>
          <w:sz w:val="32"/>
          <w:szCs w:val="32"/>
          <w:highlight w:val="none"/>
        </w:rPr>
        <w:t>单晶硅双面半片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BC型</w:t>
      </w:r>
      <w:r>
        <w:rPr>
          <w:rFonts w:ascii="仿宋_GB2312" w:hAnsi="仿宋_GB2312" w:eastAsia="仿宋_GB2312"/>
          <w:kern w:val="2"/>
          <w:sz w:val="32"/>
          <w:szCs w:val="32"/>
          <w:highlight w:val="none"/>
        </w:rPr>
        <w:t>光伏组件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highlight w:val="none"/>
        </w:rPr>
        <w:t>按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highlight w:val="none"/>
          <w:lang w:val="en-US" w:eastAsia="zh-CN"/>
        </w:rPr>
        <w:t>0.75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highlight w:val="none"/>
        </w:rPr>
        <w:t>元/Wp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highlight w:val="none"/>
          <w:lang w:val="en-US" w:eastAsia="zh-CN"/>
        </w:rPr>
        <w:t>计列</w:t>
      </w:r>
      <w:r>
        <w:rPr>
          <w:rFonts w:hint="eastAsia" w:ascii="仿宋_GB2312" w:hAnsi="仿宋_GB2312" w:eastAsia="仿宋_GB2312"/>
          <w:color w:val="auto"/>
          <w:kern w:val="2"/>
          <w:sz w:val="32"/>
          <w:szCs w:val="32"/>
          <w:highlight w:val="none"/>
        </w:rPr>
        <w:t>。其他设备价格参考近期同类工程价格水平计列。</w:t>
      </w:r>
    </w:p>
    <w:p w14:paraId="32AA1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eastAsia="zh-CN"/>
        </w:rPr>
        <w:t>（三）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根据接入系统报告，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送出线路及对端扩建投资暂按3730万元计列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</w:rPr>
        <w:t>。</w:t>
      </w:r>
    </w:p>
    <w:p w14:paraId="09AA4DA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beforeLines="0" w:afterLines="0" w:line="600" w:lineRule="exact"/>
        <w:ind w:firstLine="640" w:firstLineChars="200"/>
        <w:jc w:val="both"/>
        <w:textAlignment w:val="auto"/>
        <w:rPr>
          <w:rFonts w:hint="default" w:ascii="仿宋_GB2312" w:hAnsi="仿宋" w:eastAsia="仿宋_GB2312" w:cs="Arial"/>
          <w:kern w:val="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根据</w:t>
      </w:r>
      <w:r>
        <w:rPr>
          <w:rFonts w:hint="eastAsia" w:ascii="仿宋_GB2312" w:hAnsi="仿宋_GB2312" w:eastAsia="仿宋_GB2312"/>
          <w:sz w:val="32"/>
          <w:szCs w:val="32"/>
          <w:highlight w:val="none"/>
        </w:rPr>
        <w:t>华电</w:t>
      </w:r>
      <w:r>
        <w:rPr>
          <w:rFonts w:hint="eastAsia" w:ascii="仿宋_GB2312" w:hAnsi="仿宋_GB2312" w:eastAsia="仿宋_GB2312"/>
          <w:sz w:val="32"/>
          <w:szCs w:val="32"/>
          <w:highlight w:val="none"/>
          <w:lang w:val="en-US" w:eastAsia="zh-CN"/>
        </w:rPr>
        <w:t>陕西公司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《关于华电临渭区10万千瓦光伏项目远程集控平台接入取费的说明》，远程集控平台接入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投资暂按278.4万元计列。</w:t>
      </w:r>
    </w:p>
    <w:p w14:paraId="10515D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/>
          <w:kern w:val="2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/>
          <w:kern w:val="2"/>
          <w:sz w:val="32"/>
          <w:szCs w:val="32"/>
          <w:highlight w:val="none"/>
          <w:lang w:val="en-US" w:eastAsia="zh-CN"/>
        </w:rPr>
        <w:t>五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项目静态投资</w:t>
      </w:r>
      <w:r>
        <w:rPr>
          <w:rFonts w:hint="default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36680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万元（主体工程），单位静态投资</w:t>
      </w:r>
      <w:r>
        <w:rPr>
          <w:rFonts w:hint="default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3056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元/kWp；动态投资</w:t>
      </w:r>
      <w:r>
        <w:rPr>
          <w:rFonts w:hint="default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37119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万元（主体工程），单位动态投资</w:t>
      </w:r>
      <w:r>
        <w:rPr>
          <w:rFonts w:hint="default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3093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元/kWp。</w:t>
      </w:r>
    </w:p>
    <w:p w14:paraId="1B1C18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hAnsi="仿宋_GB2312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考虑分摊送出工程、远程集控平台接入等相关投资的情况下，项目静态投资</w:t>
      </w:r>
      <w:r>
        <w:rPr>
          <w:rFonts w:hint="default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40689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万元，单位静态投资</w:t>
      </w:r>
      <w:r>
        <w:rPr>
          <w:rFonts w:hint="default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3390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元/kWp；动态投资</w:t>
      </w:r>
      <w:r>
        <w:rPr>
          <w:rFonts w:hint="default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41176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万元，单位动态投资</w:t>
      </w:r>
      <w:r>
        <w:rPr>
          <w:rFonts w:hint="default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3431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元/kWp。</w:t>
      </w:r>
    </w:p>
    <w:p w14:paraId="47F4B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600" w:lineRule="exact"/>
        <w:ind w:firstLine="640" w:firstLineChars="200"/>
        <w:jc w:val="both"/>
        <w:textAlignment w:val="auto"/>
        <w:outlineLvl w:val="9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八、财务评价</w:t>
      </w:r>
    </w:p>
    <w:p w14:paraId="1C266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0" w:lineRule="exact"/>
        <w:ind w:left="0" w:firstLine="640" w:firstLineChars="200"/>
        <w:jc w:val="both"/>
        <w:textAlignment w:val="auto"/>
        <w:rPr>
          <w:rFonts w:hint="eastAsia" w:ascii="楷体_GB2312" w:hAnsi="楷体_GB2312" w:eastAsia="楷体_GB2312" w:cs="楷体_GB2312"/>
          <w:b w:val="0"/>
          <w:bCs/>
          <w:sz w:val="32"/>
          <w:szCs w:val="32"/>
        </w:rPr>
      </w:pP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</w:rPr>
        <w:t>（一）评价结论</w:t>
      </w:r>
    </w:p>
    <w:p w14:paraId="15DBA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600" w:lineRule="exact"/>
        <w:ind w:left="0" w:firstLine="640" w:firstLineChars="200"/>
        <w:jc w:val="both"/>
        <w:textAlignment w:val="auto"/>
        <w:rPr>
          <w:rFonts w:hint="eastAsia" w:ascii="仿宋_GB2312" w:eastAsia="仿宋_GB2312"/>
          <w:sz w:val="32"/>
          <w:szCs w:val="32"/>
          <w:highlight w:val="none"/>
        </w:rPr>
      </w:pP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按</w:t>
      </w:r>
      <w:r>
        <w:rPr>
          <w:rFonts w:hint="eastAsia" w:ascii="仿宋_GB2312" w:eastAsia="仿宋_GB2312"/>
          <w:sz w:val="32"/>
          <w:szCs w:val="32"/>
          <w:highlight w:val="none"/>
        </w:rPr>
        <w:t>静态投资</w:t>
      </w:r>
      <w:r>
        <w:rPr>
          <w:rFonts w:hint="default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40689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万元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none"/>
        </w:rPr>
        <w:t>动态投资</w:t>
      </w:r>
      <w:r>
        <w:rPr>
          <w:rFonts w:hint="default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41176</w:t>
      </w:r>
      <w:r>
        <w:rPr>
          <w:rFonts w:hint="eastAsia" w:ascii="仿宋_GB2312" w:hAnsi="仿宋_GB2312" w:eastAsia="仿宋_GB2312" w:cs="Times New Roman"/>
          <w:color w:val="auto"/>
          <w:kern w:val="2"/>
          <w:sz w:val="32"/>
          <w:szCs w:val="32"/>
          <w:highlight w:val="none"/>
          <w:lang w:val="en-US" w:eastAsia="zh-CN"/>
        </w:rPr>
        <w:t>万元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highlight w:val="none"/>
        </w:rPr>
        <w:t>资本金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占比20</w:t>
      </w:r>
      <w:r>
        <w:rPr>
          <w:rFonts w:hint="eastAsia" w:ascii="仿宋_GB2312" w:eastAsia="仿宋_GB2312"/>
          <w:sz w:val="32"/>
          <w:szCs w:val="32"/>
          <w:highlight w:val="none"/>
        </w:rPr>
        <w:t>%、年平均利用小时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1143</w:t>
      </w:r>
      <w:r>
        <w:rPr>
          <w:rFonts w:hint="eastAsia" w:ascii="仿宋_GB2312" w:eastAsia="仿宋_GB2312"/>
          <w:sz w:val="32"/>
          <w:szCs w:val="32"/>
          <w:highlight w:val="none"/>
        </w:rPr>
        <w:t>h、上网电价0.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303</w:t>
      </w:r>
      <w:r>
        <w:rPr>
          <w:rFonts w:hint="eastAsia" w:ascii="仿宋_GB2312" w:eastAsia="仿宋_GB2312"/>
          <w:sz w:val="32"/>
          <w:szCs w:val="32"/>
          <w:highlight w:val="none"/>
        </w:rPr>
        <w:t>元/kW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h</w:t>
      </w:r>
      <w:r>
        <w:rPr>
          <w:rFonts w:hint="eastAsia" w:ascii="仿宋_GB2312" w:eastAsia="仿宋_GB2312"/>
          <w:sz w:val="32"/>
          <w:szCs w:val="32"/>
          <w:highlight w:val="none"/>
        </w:rPr>
        <w:t>等边界条件测算，项目资本金内部收益率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6.74</w:t>
      </w:r>
      <w:r>
        <w:rPr>
          <w:rFonts w:hint="eastAsia" w:ascii="仿宋_GB2312" w:eastAsia="仿宋_GB2312"/>
          <w:sz w:val="32"/>
          <w:szCs w:val="32"/>
          <w:highlight w:val="none"/>
        </w:rPr>
        <w:t>%。</w:t>
      </w:r>
    </w:p>
    <w:p w14:paraId="2460CD61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60" w:lineRule="exact"/>
        <w:ind w:left="0" w:leftChars="0" w:firstLine="640" w:firstLineChars="200"/>
        <w:jc w:val="both"/>
        <w:textAlignment w:val="auto"/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b w:val="0"/>
          <w:bCs/>
          <w:kern w:val="0"/>
          <w:sz w:val="32"/>
          <w:szCs w:val="32"/>
          <w:highlight w:val="none"/>
          <w:lang w:val="en-US" w:eastAsia="zh-CN"/>
        </w:rPr>
        <w:t>（二）</w:t>
      </w:r>
      <w:r>
        <w:rPr>
          <w:rFonts w:hint="eastAsia" w:ascii="楷体_GB2312" w:hAnsi="楷体_GB2312" w:eastAsia="楷体_GB2312" w:cs="楷体_GB2312"/>
          <w:b w:val="0"/>
          <w:bCs/>
          <w:sz w:val="32"/>
          <w:szCs w:val="32"/>
          <w:highlight w:val="none"/>
        </w:rPr>
        <w:t>敏感性分析</w:t>
      </w:r>
    </w:p>
    <w:p w14:paraId="6752B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60" w:lineRule="exact"/>
        <w:ind w:firstLine="640" w:firstLineChars="200"/>
        <w:jc w:val="both"/>
        <w:textAlignment w:val="auto"/>
        <w:rPr>
          <w:rFonts w:hint="eastAsia" w:ascii="仿宋_GB2312" w:hAnsi="仿宋" w:eastAsia="仿宋_GB2312" w:cs="仿宋"/>
          <w:sz w:val="32"/>
          <w:szCs w:val="32"/>
        </w:rPr>
      </w:pPr>
      <w:r>
        <w:rPr>
          <w:rFonts w:hint="eastAsia" w:ascii="仿宋_GB2312" w:hAnsi="仿宋" w:eastAsia="仿宋_GB2312" w:cs="仿宋"/>
          <w:sz w:val="32"/>
          <w:szCs w:val="32"/>
        </w:rPr>
        <w:t>考虑项目静态投资、发电量、上网电价</w:t>
      </w:r>
      <w:r>
        <w:rPr>
          <w:rFonts w:hint="eastAsia" w:ascii="仿宋_GB2312" w:hAnsi="仿宋" w:eastAsia="仿宋_GB2312" w:cs="仿宋"/>
          <w:sz w:val="32"/>
          <w:szCs w:val="32"/>
          <w:lang w:eastAsia="zh-CN"/>
        </w:rPr>
        <w:t>、</w:t>
      </w:r>
      <w:r>
        <w:rPr>
          <w:rFonts w:hint="eastAsia" w:ascii="仿宋_GB2312" w:hAnsi="仿宋" w:eastAsia="仿宋_GB2312" w:cs="仿宋"/>
          <w:sz w:val="32"/>
          <w:szCs w:val="32"/>
          <w:lang w:val="en-US" w:eastAsia="zh-CN"/>
        </w:rPr>
        <w:t>利率</w:t>
      </w:r>
      <w:r>
        <w:rPr>
          <w:rFonts w:hint="eastAsia" w:ascii="仿宋_GB2312" w:hAnsi="仿宋" w:eastAsia="仿宋_GB2312" w:cs="仿宋"/>
          <w:sz w:val="32"/>
          <w:szCs w:val="32"/>
        </w:rPr>
        <w:t>等+10%、+5%、-5%、-10%的变化对项目资本金内部收益率的影响，详见下表。</w:t>
      </w:r>
    </w:p>
    <w:tbl>
      <w:tblPr>
        <w:tblStyle w:val="2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8"/>
        <w:gridCol w:w="2475"/>
        <w:gridCol w:w="3399"/>
      </w:tblGrid>
      <w:tr w14:paraId="4055761E">
        <w:trPr>
          <w:trHeight w:val="397" w:hRule="atLeast"/>
          <w:tblHeader/>
          <w:jc w:val="center"/>
        </w:trPr>
        <w:tc>
          <w:tcPr>
            <w:tcW w:w="2648" w:type="dxa"/>
            <w:shd w:val="clear" w:color="auto" w:fill="FFFFFF"/>
            <w:noWrap w:val="0"/>
            <w:vAlign w:val="center"/>
          </w:tcPr>
          <w:p w14:paraId="27882E75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b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b/>
                <w:color w:val="000000"/>
                <w:szCs w:val="21"/>
              </w:rPr>
              <w:t>变化因素</w:t>
            </w: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4FC6C176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b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b/>
                <w:color w:val="000000"/>
                <w:szCs w:val="21"/>
              </w:rPr>
              <w:t>变化率</w:t>
            </w:r>
          </w:p>
        </w:tc>
        <w:tc>
          <w:tcPr>
            <w:tcW w:w="3399" w:type="dxa"/>
            <w:shd w:val="clear" w:color="auto" w:fill="FFFFFF"/>
            <w:noWrap w:val="0"/>
            <w:vAlign w:val="center"/>
          </w:tcPr>
          <w:p w14:paraId="55164885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b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b/>
                <w:color w:val="000000"/>
                <w:szCs w:val="21"/>
              </w:rPr>
              <w:t>资本金内部收益率（%）</w:t>
            </w:r>
          </w:p>
        </w:tc>
      </w:tr>
      <w:tr w14:paraId="08B009E8">
        <w:trPr>
          <w:trHeight w:val="397" w:hRule="atLeast"/>
          <w:jc w:val="center"/>
        </w:trPr>
        <w:tc>
          <w:tcPr>
            <w:tcW w:w="5123" w:type="dxa"/>
            <w:gridSpan w:val="2"/>
            <w:shd w:val="clear" w:color="auto" w:fill="FFFFFF"/>
            <w:noWrap w:val="0"/>
            <w:vAlign w:val="center"/>
          </w:tcPr>
          <w:p w14:paraId="69AEA0BF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基准值（%）</w:t>
            </w:r>
          </w:p>
        </w:tc>
        <w:tc>
          <w:tcPr>
            <w:tcW w:w="3399" w:type="dxa"/>
            <w:shd w:val="clear" w:color="auto" w:fill="FFFFFF"/>
            <w:noWrap w:val="0"/>
            <w:vAlign w:val="center"/>
          </w:tcPr>
          <w:p w14:paraId="1D1828E8">
            <w:pPr>
              <w:widowControl w:val="0"/>
              <w:autoSpaceDE w:val="0"/>
              <w:autoSpaceDN w:val="0"/>
              <w:jc w:val="center"/>
              <w:rPr>
                <w:rFonts w:hint="default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6.74</w:t>
            </w:r>
          </w:p>
        </w:tc>
      </w:tr>
      <w:tr w14:paraId="3AB8C24D">
        <w:trPr>
          <w:cantSplit/>
          <w:trHeight w:val="397" w:hRule="atLeast"/>
          <w:jc w:val="center"/>
        </w:trPr>
        <w:tc>
          <w:tcPr>
            <w:tcW w:w="2648" w:type="dxa"/>
            <w:vMerge w:val="restart"/>
            <w:shd w:val="clear" w:color="auto" w:fill="FFFFFF"/>
            <w:noWrap w:val="0"/>
            <w:vAlign w:val="center"/>
          </w:tcPr>
          <w:p w14:paraId="426830F0">
            <w:pPr>
              <w:widowControl w:val="0"/>
              <w:autoSpaceDE w:val="0"/>
              <w:autoSpaceDN w:val="0"/>
              <w:jc w:val="center"/>
              <w:rPr>
                <w:rFonts w:hint="default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>静态投资</w:t>
            </w: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63232EC4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-10%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0F932AA1">
            <w:pPr>
              <w:widowControl w:val="0"/>
              <w:autoSpaceDE w:val="0"/>
              <w:autoSpaceDN w:val="0"/>
              <w:jc w:val="center"/>
              <w:rPr>
                <w:rFonts w:hint="default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9.56 </w:t>
            </w:r>
          </w:p>
        </w:tc>
      </w:tr>
      <w:tr w14:paraId="48758419"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6488E6D6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1231CBBD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-5%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0E5675D8">
            <w:pPr>
              <w:widowControl w:val="0"/>
              <w:autoSpaceDE w:val="0"/>
              <w:autoSpaceDN w:val="0"/>
              <w:jc w:val="center"/>
              <w:rPr>
                <w:rFonts w:hint="default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8.04 </w:t>
            </w:r>
          </w:p>
        </w:tc>
      </w:tr>
      <w:tr w14:paraId="3C95EF00"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0840BA39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02080FEE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5%</w:t>
            </w:r>
          </w:p>
        </w:tc>
        <w:tc>
          <w:tcPr>
            <w:tcW w:w="3399" w:type="dxa"/>
            <w:shd w:val="clear" w:color="auto" w:fill="FFFFFF"/>
            <w:noWrap w:val="0"/>
            <w:vAlign w:val="bottom"/>
          </w:tcPr>
          <w:p w14:paraId="0CA7B69C">
            <w:pPr>
              <w:widowControl w:val="0"/>
              <w:autoSpaceDE w:val="0"/>
              <w:autoSpaceDN w:val="0"/>
              <w:jc w:val="center"/>
              <w:rPr>
                <w:rFonts w:hint="default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5.61 </w:t>
            </w:r>
          </w:p>
        </w:tc>
      </w:tr>
      <w:tr w14:paraId="6218BA2F"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445B3C12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3A9454E8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10%</w:t>
            </w:r>
          </w:p>
        </w:tc>
        <w:tc>
          <w:tcPr>
            <w:tcW w:w="3399" w:type="dxa"/>
            <w:shd w:val="clear" w:color="auto" w:fill="FFFFFF"/>
            <w:noWrap w:val="0"/>
            <w:vAlign w:val="bottom"/>
          </w:tcPr>
          <w:p w14:paraId="003A7E5B">
            <w:pPr>
              <w:widowControl w:val="0"/>
              <w:autoSpaceDE w:val="0"/>
              <w:autoSpaceDN w:val="0"/>
              <w:jc w:val="center"/>
              <w:rPr>
                <w:rFonts w:hint="default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4.62 </w:t>
            </w:r>
          </w:p>
        </w:tc>
      </w:tr>
      <w:tr w14:paraId="29732327">
        <w:trPr>
          <w:cantSplit/>
          <w:trHeight w:val="397" w:hRule="atLeast"/>
          <w:jc w:val="center"/>
        </w:trPr>
        <w:tc>
          <w:tcPr>
            <w:tcW w:w="2648" w:type="dxa"/>
            <w:vMerge w:val="restart"/>
            <w:shd w:val="clear" w:color="auto" w:fill="FFFFFF"/>
            <w:noWrap w:val="0"/>
            <w:vAlign w:val="center"/>
          </w:tcPr>
          <w:p w14:paraId="6EB369EF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年均发电量</w:t>
            </w:r>
          </w:p>
          <w:p w14:paraId="7D3EEA62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（或上网电价）</w:t>
            </w: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0B1A0EA8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-10%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3DFC9BBA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3.57 </w:t>
            </w:r>
          </w:p>
        </w:tc>
      </w:tr>
      <w:tr w14:paraId="547F56BD"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610C35B2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3B8198E8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-5%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45E42647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5.12 </w:t>
            </w:r>
          </w:p>
        </w:tc>
      </w:tr>
      <w:tr w14:paraId="7EAB31C2"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42E4FFFC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68E46499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5%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54EF446F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8.43 </w:t>
            </w:r>
          </w:p>
        </w:tc>
      </w:tr>
      <w:tr w14:paraId="2F93FF10"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1254893D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27EB7B67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10%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7B01F57A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10.20 </w:t>
            </w:r>
          </w:p>
        </w:tc>
      </w:tr>
      <w:tr w14:paraId="63316059">
        <w:trPr>
          <w:cantSplit/>
          <w:trHeight w:val="397" w:hRule="atLeast"/>
          <w:jc w:val="center"/>
        </w:trPr>
        <w:tc>
          <w:tcPr>
            <w:tcW w:w="2648" w:type="dxa"/>
            <w:vMerge w:val="restart"/>
            <w:shd w:val="clear" w:color="auto" w:fill="FFFFFF"/>
            <w:noWrap w:val="0"/>
            <w:vAlign w:val="center"/>
          </w:tcPr>
          <w:p w14:paraId="605B0114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利率</w:t>
            </w: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495AD47A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-10%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136777A5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7.23 </w:t>
            </w:r>
          </w:p>
        </w:tc>
      </w:tr>
      <w:tr w14:paraId="5EF505FE"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08778096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789D2D1F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-5%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1A8FFE2C">
            <w:pPr>
              <w:widowControl w:val="0"/>
              <w:autoSpaceDE w:val="0"/>
              <w:autoSpaceDN w:val="0"/>
              <w:jc w:val="center"/>
              <w:rPr>
                <w:rFonts w:hint="default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6.98 </w:t>
            </w:r>
          </w:p>
        </w:tc>
      </w:tr>
      <w:tr w14:paraId="63FBC7EA"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6AB77F86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247ECF79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5%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191B1B7B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6.50 </w:t>
            </w:r>
          </w:p>
        </w:tc>
      </w:tr>
      <w:tr w14:paraId="131D4592">
        <w:trPr>
          <w:cantSplit/>
          <w:trHeight w:val="397" w:hRule="atLeast"/>
          <w:jc w:val="center"/>
        </w:trPr>
        <w:tc>
          <w:tcPr>
            <w:tcW w:w="2648" w:type="dxa"/>
            <w:vMerge w:val="continue"/>
            <w:shd w:val="clear" w:color="auto" w:fill="FFFFFF"/>
            <w:noWrap w:val="0"/>
            <w:vAlign w:val="center"/>
          </w:tcPr>
          <w:p w14:paraId="32F282E3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</w:p>
        </w:tc>
        <w:tc>
          <w:tcPr>
            <w:tcW w:w="2475" w:type="dxa"/>
            <w:shd w:val="clear" w:color="auto" w:fill="FFFFFF"/>
            <w:noWrap w:val="0"/>
            <w:vAlign w:val="center"/>
          </w:tcPr>
          <w:p w14:paraId="3057C71E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</w:rPr>
              <w:t>10%</w:t>
            </w:r>
          </w:p>
        </w:tc>
        <w:tc>
          <w:tcPr>
            <w:tcW w:w="3399" w:type="dxa"/>
            <w:shd w:val="solid" w:color="FFFFFF" w:fill="auto"/>
            <w:noWrap w:val="0"/>
            <w:vAlign w:val="bottom"/>
          </w:tcPr>
          <w:p w14:paraId="4D962B22">
            <w:pPr>
              <w:widowControl w:val="0"/>
              <w:autoSpaceDE w:val="0"/>
              <w:autoSpaceDN w:val="0"/>
              <w:jc w:val="center"/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color w:val="000000"/>
                <w:szCs w:val="21"/>
                <w:lang w:val="en-US" w:eastAsia="zh-CN"/>
              </w:rPr>
              <w:t xml:space="preserve">6.27 </w:t>
            </w:r>
          </w:p>
        </w:tc>
      </w:tr>
    </w:tbl>
    <w:p w14:paraId="60739FF1">
      <w:pPr>
        <w:keepNext w:val="0"/>
        <w:keepLines w:val="0"/>
        <w:pageBreakBefore w:val="0"/>
        <w:widowControl w:val="0"/>
        <w:tabs>
          <w:tab w:val="left" w:pos="4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64" w:firstLineChars="200"/>
        <w:jc w:val="both"/>
        <w:textAlignment w:val="auto"/>
        <w:outlineLvl w:val="9"/>
        <w:rPr>
          <w:rFonts w:hint="eastAsia" w:ascii="黑体" w:hAnsi="黑体" w:eastAsia="黑体" w:cs="黑体"/>
          <w:b w:val="0"/>
          <w:bCs w:val="0"/>
          <w:spacing w:val="6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宋体"/>
          <w:b w:val="0"/>
          <w:bCs w:val="0"/>
          <w:color w:val="auto"/>
          <w:spacing w:val="6"/>
          <w:kern w:val="0"/>
          <w:sz w:val="32"/>
          <w:szCs w:val="32"/>
          <w:highlight w:val="none"/>
          <w:lang w:val="en-US" w:eastAsia="zh-CN"/>
        </w:rPr>
        <w:t>从敏感性分析看，上网电量（上网电价）对项目资本金内部收益率影响最大，静态投资影响次之，贷款利率影响较小。</w:t>
      </w:r>
    </w:p>
    <w:p w14:paraId="6BFE1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jc w:val="both"/>
        <w:textAlignment w:val="auto"/>
        <w:outlineLvl w:val="9"/>
        <w:rPr>
          <w:rFonts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sz w:val="32"/>
          <w:szCs w:val="32"/>
          <w:highlight w:val="none"/>
          <w:lang w:val="en-US" w:eastAsia="zh-CN"/>
        </w:rPr>
        <w:t>九</w:t>
      </w:r>
      <w:r>
        <w:rPr>
          <w:rFonts w:ascii="黑体" w:hAnsi="黑体" w:eastAsia="黑体" w:cs="黑体"/>
          <w:b w:val="0"/>
          <w:sz w:val="32"/>
          <w:szCs w:val="32"/>
          <w:highlight w:val="none"/>
        </w:rPr>
        <w:t>、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风险及建议</w:t>
      </w:r>
    </w:p>
    <w:p w14:paraId="3FB126DD">
      <w:pPr>
        <w:widowControl w:val="0"/>
        <w:numPr>
          <w:ilvl w:val="0"/>
          <w:numId w:val="0"/>
        </w:numPr>
        <w:adjustRightInd/>
        <w:snapToGrid/>
        <w:spacing w:line="560" w:lineRule="exact"/>
        <w:ind w:firstLine="640" w:firstLineChars="200"/>
        <w:jc w:val="both"/>
        <w:rPr>
          <w:rFonts w:hint="eastAsia" w:ascii="仿宋_GB2312" w:hAnsi="仿宋_GB2312" w:eastAsia="仿宋_GB2312" w:cs="仿宋_GB2312"/>
          <w:sz w:val="32"/>
          <w:szCs w:val="36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6"/>
          <w:highlight w:val="none"/>
          <w:lang w:val="en-US" w:eastAsia="zh-CN" w:bidi="ar-SA"/>
        </w:rPr>
        <w:t>（一）</w:t>
      </w:r>
      <w:r>
        <w:rPr>
          <w:rFonts w:ascii="仿宋_GB2312" w:hAnsi="仿宋_GB2312" w:eastAsia="仿宋_GB2312"/>
          <w:sz w:val="32"/>
          <w:szCs w:val="32"/>
          <w:highlight w:val="none"/>
        </w:rPr>
        <w:t>根据华电</w:t>
      </w:r>
      <w:r>
        <w:rPr>
          <w:rFonts w:hint="eastAsia" w:ascii="仿宋_GB2312" w:hAnsi="仿宋_GB2312" w:eastAsia="仿宋_GB2312"/>
          <w:sz w:val="32"/>
          <w:szCs w:val="32"/>
          <w:highlight w:val="none"/>
          <w:lang w:val="en-US" w:eastAsia="zh-CN"/>
        </w:rPr>
        <w:t>陕西</w:t>
      </w:r>
      <w:r>
        <w:rPr>
          <w:rFonts w:ascii="仿宋_GB2312" w:hAnsi="仿宋_GB2312" w:eastAsia="仿宋_GB2312"/>
          <w:sz w:val="32"/>
          <w:szCs w:val="32"/>
          <w:highlight w:val="none"/>
        </w:rPr>
        <w:t>公司</w:t>
      </w:r>
      <w:r>
        <w:rPr>
          <w:rFonts w:hint="eastAsia" w:ascii="仿宋_GB2312" w:hAnsi="仿宋_GB2312" w:eastAsia="仿宋_GB2312"/>
          <w:sz w:val="32"/>
          <w:szCs w:val="32"/>
          <w:highlight w:val="none"/>
          <w:lang w:val="en-US" w:eastAsia="zh-CN"/>
        </w:rPr>
        <w:t>本项目电价趋势性分析报告</w:t>
      </w:r>
      <w:r>
        <w:rPr>
          <w:rFonts w:hint="eastAsia" w:ascii="仿宋_GB2312" w:hAnsi="仿宋_GB2312" w:eastAsia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6"/>
          <w:highlight w:val="none"/>
          <w:lang w:val="en-US" w:eastAsia="zh-CN"/>
        </w:rPr>
        <w:t>上网电价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暂按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0.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303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元/kW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h考虑</w:t>
      </w:r>
      <w:r>
        <w:rPr>
          <w:rFonts w:hint="eastAsia" w:ascii="仿宋_GB2312" w:hAnsi="仿宋_GB2312" w:eastAsia="仿宋_GB2312" w:cs="仿宋_GB2312"/>
          <w:sz w:val="32"/>
          <w:szCs w:val="36"/>
          <w:highlight w:val="none"/>
          <w:lang w:val="en-US" w:eastAsia="zh-CN"/>
        </w:rPr>
        <w:t>。</w:t>
      </w:r>
    </w:p>
    <w:p w14:paraId="526C4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6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按项目资本金内部收益率6.5%测算，项目上网电价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0.3008</w:t>
      </w:r>
      <w:r>
        <w:rPr>
          <w:rFonts w:hint="eastAsia" w:ascii="仿宋_GB2312" w:eastAsia="仿宋_GB2312"/>
          <w:sz w:val="32"/>
          <w:szCs w:val="32"/>
        </w:rPr>
        <w:t>元/kW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h。</w:t>
      </w:r>
      <w:r>
        <w:rPr>
          <w:rFonts w:hint="eastAsia" w:ascii="仿宋_GB2312" w:hAnsi="仿宋_GB2312" w:eastAsia="仿宋_GB2312" w:cs="仿宋_GB2312"/>
          <w:sz w:val="32"/>
          <w:szCs w:val="36"/>
          <w:highlight w:val="none"/>
          <w:lang w:val="en-US" w:eastAsia="zh-CN"/>
        </w:rPr>
        <w:t>请项目公司做好机制电价报价相关预案，争取合理量价，确保项目投资收益。</w:t>
      </w:r>
    </w:p>
    <w:p w14:paraId="61310A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6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6"/>
          <w:highlight w:val="none"/>
          <w:lang w:val="en-US" w:eastAsia="zh-CN"/>
        </w:rPr>
        <w:t>（二）项目投资包含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送出工程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远程集控平台接入</w:t>
      </w:r>
      <w:r>
        <w:rPr>
          <w:rFonts w:hint="eastAsia" w:ascii="仿宋_GB2312" w:hAnsi="仿宋_GB2312" w:eastAsia="仿宋_GB2312" w:cs="仿宋_GB2312"/>
          <w:sz w:val="32"/>
          <w:szCs w:val="36"/>
          <w:highlight w:val="none"/>
          <w:lang w:val="en-US" w:eastAsia="zh-CN"/>
        </w:rPr>
        <w:t>等投资。其中，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送出工程暂按</w:t>
      </w:r>
      <w:r>
        <w:rPr>
          <w:rFonts w:hint="eastAsia" w:ascii="仿宋_GB2312" w:hAnsi="仿宋_GB2312" w:eastAsia="仿宋_GB2312" w:cs="Times New Roman"/>
          <w:kern w:val="2"/>
          <w:sz w:val="32"/>
          <w:szCs w:val="32"/>
          <w:highlight w:val="none"/>
        </w:rPr>
        <w:t>项目公司出资建设</w:t>
      </w:r>
      <w:r>
        <w:rPr>
          <w:rFonts w:hint="eastAsia" w:ascii="仿宋_GB2312" w:hAnsi="仿宋_GB2312" w:eastAsia="仿宋_GB2312" w:cs="Times New Roman"/>
          <w:kern w:val="2"/>
          <w:sz w:val="32"/>
          <w:szCs w:val="32"/>
          <w:highlight w:val="none"/>
          <w:lang w:val="en-US" w:eastAsia="zh-CN"/>
        </w:rPr>
        <w:t>考虑</w:t>
      </w:r>
      <w:r>
        <w:rPr>
          <w:rFonts w:hint="eastAsia" w:ascii="仿宋_GB2312" w:hAnsi="仿宋_GB2312" w:eastAsia="仿宋_GB2312" w:cs="Times New Roman"/>
          <w:kern w:val="2"/>
          <w:sz w:val="32"/>
          <w:szCs w:val="32"/>
          <w:highlight w:val="none"/>
        </w:rPr>
        <w:t>，</w:t>
      </w:r>
      <w:r>
        <w:rPr>
          <w:rFonts w:hint="eastAsia" w:ascii="仿宋_GB2312" w:hAnsi="仿宋_GB2312" w:eastAsia="仿宋_GB2312" w:cs="Times New Roman"/>
          <w:sz w:val="32"/>
          <w:szCs w:val="32"/>
          <w:highlight w:val="none"/>
          <w:lang w:val="en-US" w:eastAsia="zh-CN"/>
        </w:rPr>
        <w:t>远程集控平台接入</w:t>
      </w:r>
      <w:r>
        <w:rPr>
          <w:rFonts w:hint="eastAsia" w:ascii="仿宋_GB2312" w:hAnsi="仿宋_GB2312" w:eastAsia="仿宋_GB2312" w:cs="仿宋_GB2312"/>
          <w:sz w:val="32"/>
          <w:szCs w:val="36"/>
          <w:highlight w:val="none"/>
          <w:lang w:val="en-US" w:eastAsia="zh-CN"/>
        </w:rPr>
        <w:t>暂未审查技术方案仅计列投资。</w:t>
      </w:r>
    </w:p>
    <w:p w14:paraId="4CCFA6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仿宋_GB2312" w:eastAsia="仿宋_GB2312"/>
          <w:sz w:val="32"/>
          <w:szCs w:val="36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6"/>
          <w:highlight w:val="none"/>
          <w:lang w:val="en-US" w:eastAsia="zh-CN"/>
        </w:rPr>
        <w:t>请项目公司协调有关各方，做好相关专项方案的技术审查，复核投资，确保技术合理、方案可行、投资可控，相关设备能够安全稳定运行。</w:t>
      </w:r>
    </w:p>
    <w:p w14:paraId="1DDBFA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firstLine="640" w:firstLineChars="200"/>
        <w:jc w:val="both"/>
        <w:textAlignment w:val="auto"/>
        <w:rPr>
          <w:rFonts w:hint="default" w:ascii="仿宋_GB2312" w:eastAsia="仿宋_GB2312"/>
          <w:sz w:val="32"/>
          <w:szCs w:val="36"/>
          <w:highlight w:val="none"/>
          <w:lang w:val="en-US" w:eastAsia="zh-CN"/>
        </w:rPr>
      </w:pPr>
    </w:p>
    <w:p w14:paraId="17AFE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0" w:firstLineChars="200"/>
        <w:jc w:val="left"/>
        <w:textAlignment w:val="auto"/>
        <w:outlineLvl w:val="9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bookmarkEnd w:id="2"/>
    <w:sectPr>
      <w:headerReference r:id="rId3" w:type="default"/>
      <w:footerReference r:id="rId4" w:type="default"/>
      <w:pgSz w:w="11906" w:h="16838"/>
      <w:pgMar w:top="2098" w:right="1531" w:bottom="1984" w:left="1531" w:header="851" w:footer="1304" w:gutter="0"/>
      <w:pgNumType w:fmt="decimal" w:start="3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decorative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4A5CB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087B8B">
                          <w:pPr>
                            <w:pStyle w:val="15"/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087B8B">
                    <w:pPr>
                      <w:pStyle w:val="15"/>
                      <w:rPr>
                        <w:rFonts w:hint="eastAsia" w:ascii="宋体" w:hAnsi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00726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C063B0"/>
    <w:multiLevelType w:val="singleLevel"/>
    <w:tmpl w:val="A9C063B0"/>
    <w:lvl w:ilvl="0" w:tentative="0">
      <w:start w:val="2"/>
      <w:numFmt w:val="decimal"/>
      <w:suff w:val="space"/>
      <w:lvlText w:val="%1."/>
      <w:lvlJc w:val="left"/>
      <w:rPr>
        <w:rFonts w:hint="default" w:ascii="仿宋_GB2312" w:hAnsi="仿宋_GB2312" w:eastAsia="仿宋_GB2312" w:cs="仿宋_GB2312"/>
        <w:sz w:val="32"/>
        <w:szCs w:val="32"/>
      </w:rPr>
    </w:lvl>
  </w:abstractNum>
  <w:abstractNum w:abstractNumId="1">
    <w:nsid w:val="EC057E4F"/>
    <w:multiLevelType w:val="singleLevel"/>
    <w:tmpl w:val="EC057E4F"/>
    <w:lvl w:ilvl="0" w:tentative="0">
      <w:start w:val="3"/>
      <w:numFmt w:val="decimal"/>
      <w:suff w:val="space"/>
      <w:lvlText w:val="%1."/>
      <w:lvlJc w:val="left"/>
      <w:rPr>
        <w:rFonts w:hint="default" w:ascii="仿宋_GB2312" w:hAnsi="仿宋_GB2312" w:eastAsia="仿宋_GB2312" w:cs="仿宋_GB2312"/>
        <w:sz w:val="32"/>
        <w:szCs w:val="32"/>
      </w:rPr>
    </w:lvl>
  </w:abstractNum>
  <w:abstractNum w:abstractNumId="2">
    <w:nsid w:val="FFB6A310"/>
    <w:multiLevelType w:val="singleLevel"/>
    <w:tmpl w:val="FFB6A310"/>
    <w:lvl w:ilvl="0" w:tentative="0">
      <w:start w:val="4"/>
      <w:numFmt w:val="decimal"/>
      <w:suff w:val="space"/>
      <w:lvlText w:val="%1."/>
      <w:lvlJc w:val="left"/>
      <w:rPr>
        <w:rFonts w:hint="default" w:ascii="仿宋_GB2312" w:hAnsi="仿宋_GB2312" w:eastAsia="仿宋_GB2312" w:cs="仿宋_GB2312"/>
        <w:sz w:val="32"/>
        <w:szCs w:val="32"/>
      </w:rPr>
    </w:lvl>
  </w:abstractNum>
  <w:abstractNum w:abstractNumId="3">
    <w:nsid w:val="5F6AAC42"/>
    <w:multiLevelType w:val="singleLevel"/>
    <w:tmpl w:val="5F6AAC42"/>
    <w:lvl w:ilvl="0" w:tentative="0">
      <w:start w:val="5"/>
      <w:numFmt w:val="chineseCounting"/>
      <w:suff w:val="nothing"/>
      <w:lvlText w:val="（%1）"/>
      <w:lvlJc w:val="left"/>
      <w:rPr>
        <w:rFonts w:hint="eastAsia" w:ascii="楷体_GB2312" w:hAnsi="楷体_GB2312" w:eastAsia="楷体_GB2312" w:cs="楷体_GB2312"/>
        <w:sz w:val="32"/>
        <w:szCs w:val="32"/>
      </w:rPr>
    </w:lvl>
  </w:abstractNum>
  <w:abstractNum w:abstractNumId="4">
    <w:nsid w:val="68CE6A89"/>
    <w:multiLevelType w:val="singleLevel"/>
    <w:tmpl w:val="68CE6A89"/>
    <w:lvl w:ilvl="0" w:tentative="0">
      <w:start w:val="1"/>
      <w:numFmt w:val="decimal"/>
      <w:pStyle w:val="1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5">
    <w:nsid w:val="725C5DCA"/>
    <w:multiLevelType w:val="singleLevel"/>
    <w:tmpl w:val="725C5DCA"/>
    <w:lvl w:ilvl="0" w:tentative="0">
      <w:start w:val="1"/>
      <w:numFmt w:val="bullet"/>
      <w:pStyle w:val="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dit="comments" w:enforcement="1" w:cryptProviderType="rsaFull" w:cryptAlgorithmClass="hash" w:cryptAlgorithmType="typeAny" w:cryptAlgorithmSid="4" w:cryptSpinCount="0" w:hash="Q7RtlbE4obXut0ZWLTx4jjEKMSk=" w:salt="8w8tZaYXuK9u5NVoa7SyGg==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RmOTMyZGQxOTM4Y2I3NjI2NDNhZTRjNDRmYWNlMjcifQ=="/>
  </w:docVars>
  <w:rsids>
    <w:rsidRoot w:val="008E3E62"/>
    <w:rsid w:val="000050FA"/>
    <w:rsid w:val="00005D9C"/>
    <w:rsid w:val="00010841"/>
    <w:rsid w:val="00011C86"/>
    <w:rsid w:val="000140CD"/>
    <w:rsid w:val="00025827"/>
    <w:rsid w:val="00025B35"/>
    <w:rsid w:val="00026DED"/>
    <w:rsid w:val="00035996"/>
    <w:rsid w:val="00041953"/>
    <w:rsid w:val="00042262"/>
    <w:rsid w:val="00046D7B"/>
    <w:rsid w:val="00052C37"/>
    <w:rsid w:val="000554C6"/>
    <w:rsid w:val="00057013"/>
    <w:rsid w:val="00065806"/>
    <w:rsid w:val="000712E1"/>
    <w:rsid w:val="0007203C"/>
    <w:rsid w:val="000735DA"/>
    <w:rsid w:val="00076EFA"/>
    <w:rsid w:val="00077A36"/>
    <w:rsid w:val="00085B79"/>
    <w:rsid w:val="000917C8"/>
    <w:rsid w:val="000A3204"/>
    <w:rsid w:val="000A3FA1"/>
    <w:rsid w:val="000A4DE7"/>
    <w:rsid w:val="000A6CE1"/>
    <w:rsid w:val="000A6CFA"/>
    <w:rsid w:val="000B38E1"/>
    <w:rsid w:val="000C0A3B"/>
    <w:rsid w:val="000C39DE"/>
    <w:rsid w:val="000C5EEC"/>
    <w:rsid w:val="000C638A"/>
    <w:rsid w:val="000D005E"/>
    <w:rsid w:val="000D1DF1"/>
    <w:rsid w:val="000D6B47"/>
    <w:rsid w:val="000D7368"/>
    <w:rsid w:val="000D7684"/>
    <w:rsid w:val="000E10FD"/>
    <w:rsid w:val="000E5DDF"/>
    <w:rsid w:val="000E5E7E"/>
    <w:rsid w:val="000F227B"/>
    <w:rsid w:val="00102B5E"/>
    <w:rsid w:val="00105D85"/>
    <w:rsid w:val="00111485"/>
    <w:rsid w:val="001346A7"/>
    <w:rsid w:val="00136E91"/>
    <w:rsid w:val="0014126C"/>
    <w:rsid w:val="00150284"/>
    <w:rsid w:val="00152F8F"/>
    <w:rsid w:val="00155009"/>
    <w:rsid w:val="00162C4E"/>
    <w:rsid w:val="00163CC6"/>
    <w:rsid w:val="0016472D"/>
    <w:rsid w:val="001700EC"/>
    <w:rsid w:val="00180736"/>
    <w:rsid w:val="001816ED"/>
    <w:rsid w:val="00182CB4"/>
    <w:rsid w:val="00183551"/>
    <w:rsid w:val="00184FD6"/>
    <w:rsid w:val="00187D8B"/>
    <w:rsid w:val="00187E61"/>
    <w:rsid w:val="00192109"/>
    <w:rsid w:val="00192B04"/>
    <w:rsid w:val="00196F99"/>
    <w:rsid w:val="001A3EE6"/>
    <w:rsid w:val="001A4FE2"/>
    <w:rsid w:val="001A769D"/>
    <w:rsid w:val="001A76FB"/>
    <w:rsid w:val="001B187C"/>
    <w:rsid w:val="001B264C"/>
    <w:rsid w:val="001C044E"/>
    <w:rsid w:val="001C104F"/>
    <w:rsid w:val="001C1D6C"/>
    <w:rsid w:val="001C2C6B"/>
    <w:rsid w:val="001C3ACD"/>
    <w:rsid w:val="001C4F1D"/>
    <w:rsid w:val="001C5D76"/>
    <w:rsid w:val="001C7D60"/>
    <w:rsid w:val="001D2879"/>
    <w:rsid w:val="001D6BE6"/>
    <w:rsid w:val="001E061D"/>
    <w:rsid w:val="001E3B70"/>
    <w:rsid w:val="001E5144"/>
    <w:rsid w:val="001E6078"/>
    <w:rsid w:val="001E67AF"/>
    <w:rsid w:val="001E772B"/>
    <w:rsid w:val="001F3A42"/>
    <w:rsid w:val="00201DE3"/>
    <w:rsid w:val="00202BD5"/>
    <w:rsid w:val="00204EE5"/>
    <w:rsid w:val="00211354"/>
    <w:rsid w:val="00215743"/>
    <w:rsid w:val="0022255C"/>
    <w:rsid w:val="002236D1"/>
    <w:rsid w:val="00227F97"/>
    <w:rsid w:val="00231E36"/>
    <w:rsid w:val="00232D07"/>
    <w:rsid w:val="00233AFA"/>
    <w:rsid w:val="002351E6"/>
    <w:rsid w:val="00252C75"/>
    <w:rsid w:val="00256660"/>
    <w:rsid w:val="00257383"/>
    <w:rsid w:val="002655CE"/>
    <w:rsid w:val="0026687C"/>
    <w:rsid w:val="0026695A"/>
    <w:rsid w:val="002714F5"/>
    <w:rsid w:val="0027380E"/>
    <w:rsid w:val="002776CD"/>
    <w:rsid w:val="00284CA1"/>
    <w:rsid w:val="002856B1"/>
    <w:rsid w:val="0028597D"/>
    <w:rsid w:val="00286664"/>
    <w:rsid w:val="0029571B"/>
    <w:rsid w:val="0029689A"/>
    <w:rsid w:val="00297ACF"/>
    <w:rsid w:val="002A42F0"/>
    <w:rsid w:val="002A42F6"/>
    <w:rsid w:val="002B47F1"/>
    <w:rsid w:val="002C0947"/>
    <w:rsid w:val="002D3356"/>
    <w:rsid w:val="002D5FEF"/>
    <w:rsid w:val="002E056F"/>
    <w:rsid w:val="002F6181"/>
    <w:rsid w:val="00300951"/>
    <w:rsid w:val="00306A0A"/>
    <w:rsid w:val="00307EC1"/>
    <w:rsid w:val="003154CD"/>
    <w:rsid w:val="0032017F"/>
    <w:rsid w:val="00330014"/>
    <w:rsid w:val="00331537"/>
    <w:rsid w:val="0033386E"/>
    <w:rsid w:val="00335FA7"/>
    <w:rsid w:val="00336503"/>
    <w:rsid w:val="00340206"/>
    <w:rsid w:val="00342F4E"/>
    <w:rsid w:val="00351CD9"/>
    <w:rsid w:val="003547EB"/>
    <w:rsid w:val="00365E2A"/>
    <w:rsid w:val="00372D81"/>
    <w:rsid w:val="0037375B"/>
    <w:rsid w:val="003760F3"/>
    <w:rsid w:val="00382D01"/>
    <w:rsid w:val="0038368F"/>
    <w:rsid w:val="00385997"/>
    <w:rsid w:val="00386BE7"/>
    <w:rsid w:val="003871F0"/>
    <w:rsid w:val="0039637E"/>
    <w:rsid w:val="00396C7E"/>
    <w:rsid w:val="003A2150"/>
    <w:rsid w:val="003A58BC"/>
    <w:rsid w:val="003B4B86"/>
    <w:rsid w:val="003B6C1A"/>
    <w:rsid w:val="003D2748"/>
    <w:rsid w:val="003E1B8C"/>
    <w:rsid w:val="003E7B00"/>
    <w:rsid w:val="0040010A"/>
    <w:rsid w:val="00400383"/>
    <w:rsid w:val="00400D65"/>
    <w:rsid w:val="00402E3F"/>
    <w:rsid w:val="00402F4E"/>
    <w:rsid w:val="00402FA5"/>
    <w:rsid w:val="004044AF"/>
    <w:rsid w:val="004051DD"/>
    <w:rsid w:val="00416F75"/>
    <w:rsid w:val="004177D5"/>
    <w:rsid w:val="00420563"/>
    <w:rsid w:val="00420B88"/>
    <w:rsid w:val="004228A2"/>
    <w:rsid w:val="0042621A"/>
    <w:rsid w:val="004271AE"/>
    <w:rsid w:val="00432FBA"/>
    <w:rsid w:val="00433FA3"/>
    <w:rsid w:val="004346DF"/>
    <w:rsid w:val="00436D9D"/>
    <w:rsid w:val="004470EC"/>
    <w:rsid w:val="00451640"/>
    <w:rsid w:val="00451B0F"/>
    <w:rsid w:val="00452FC1"/>
    <w:rsid w:val="004613E1"/>
    <w:rsid w:val="0046185D"/>
    <w:rsid w:val="004619D3"/>
    <w:rsid w:val="00461F46"/>
    <w:rsid w:val="00465C16"/>
    <w:rsid w:val="00465F0F"/>
    <w:rsid w:val="0047010B"/>
    <w:rsid w:val="004746C2"/>
    <w:rsid w:val="00481A70"/>
    <w:rsid w:val="00482B38"/>
    <w:rsid w:val="00486D3B"/>
    <w:rsid w:val="00487DC2"/>
    <w:rsid w:val="00492B16"/>
    <w:rsid w:val="00497DC8"/>
    <w:rsid w:val="004A05F7"/>
    <w:rsid w:val="004A36A5"/>
    <w:rsid w:val="004A5448"/>
    <w:rsid w:val="004B48B9"/>
    <w:rsid w:val="004B4CC9"/>
    <w:rsid w:val="004B65BC"/>
    <w:rsid w:val="004B729D"/>
    <w:rsid w:val="004B7404"/>
    <w:rsid w:val="004C0152"/>
    <w:rsid w:val="004C1BDC"/>
    <w:rsid w:val="004C6DED"/>
    <w:rsid w:val="004D3A83"/>
    <w:rsid w:val="004E031B"/>
    <w:rsid w:val="004E0B70"/>
    <w:rsid w:val="004E4EF5"/>
    <w:rsid w:val="004E5CCB"/>
    <w:rsid w:val="004E6E9B"/>
    <w:rsid w:val="004F7BCE"/>
    <w:rsid w:val="00506B68"/>
    <w:rsid w:val="0050777D"/>
    <w:rsid w:val="005114F0"/>
    <w:rsid w:val="00511A6C"/>
    <w:rsid w:val="005130AC"/>
    <w:rsid w:val="005146FB"/>
    <w:rsid w:val="00516018"/>
    <w:rsid w:val="00521E27"/>
    <w:rsid w:val="00521F15"/>
    <w:rsid w:val="005300C9"/>
    <w:rsid w:val="00530B3F"/>
    <w:rsid w:val="00537F5D"/>
    <w:rsid w:val="005420F2"/>
    <w:rsid w:val="00546433"/>
    <w:rsid w:val="00547054"/>
    <w:rsid w:val="005515C3"/>
    <w:rsid w:val="0055429B"/>
    <w:rsid w:val="0055452E"/>
    <w:rsid w:val="005575E7"/>
    <w:rsid w:val="00571ED8"/>
    <w:rsid w:val="005736E9"/>
    <w:rsid w:val="00582304"/>
    <w:rsid w:val="005839B6"/>
    <w:rsid w:val="00585B22"/>
    <w:rsid w:val="005874BC"/>
    <w:rsid w:val="005919DC"/>
    <w:rsid w:val="00594058"/>
    <w:rsid w:val="00594FBD"/>
    <w:rsid w:val="005A05C8"/>
    <w:rsid w:val="005A1E19"/>
    <w:rsid w:val="005A71BF"/>
    <w:rsid w:val="005A7345"/>
    <w:rsid w:val="005B1DB9"/>
    <w:rsid w:val="005B6AD8"/>
    <w:rsid w:val="005B72B7"/>
    <w:rsid w:val="005C33E2"/>
    <w:rsid w:val="005C693B"/>
    <w:rsid w:val="005C6D51"/>
    <w:rsid w:val="005D266E"/>
    <w:rsid w:val="005E0DD1"/>
    <w:rsid w:val="005F42AF"/>
    <w:rsid w:val="005F6FED"/>
    <w:rsid w:val="0060101E"/>
    <w:rsid w:val="00604EBB"/>
    <w:rsid w:val="006112DE"/>
    <w:rsid w:val="00615075"/>
    <w:rsid w:val="00615C11"/>
    <w:rsid w:val="00615CB0"/>
    <w:rsid w:val="0061608D"/>
    <w:rsid w:val="00617937"/>
    <w:rsid w:val="00620666"/>
    <w:rsid w:val="006215FF"/>
    <w:rsid w:val="00634054"/>
    <w:rsid w:val="00634F5E"/>
    <w:rsid w:val="0063544B"/>
    <w:rsid w:val="00641356"/>
    <w:rsid w:val="00650676"/>
    <w:rsid w:val="006526FD"/>
    <w:rsid w:val="00653417"/>
    <w:rsid w:val="00657E4F"/>
    <w:rsid w:val="00661E98"/>
    <w:rsid w:val="00665890"/>
    <w:rsid w:val="00670F57"/>
    <w:rsid w:val="0067111A"/>
    <w:rsid w:val="006732D4"/>
    <w:rsid w:val="00675D10"/>
    <w:rsid w:val="006771CC"/>
    <w:rsid w:val="00683BE1"/>
    <w:rsid w:val="00687705"/>
    <w:rsid w:val="00692A8E"/>
    <w:rsid w:val="006A00BD"/>
    <w:rsid w:val="006B0A30"/>
    <w:rsid w:val="006B1ED5"/>
    <w:rsid w:val="006B6D66"/>
    <w:rsid w:val="006B7E29"/>
    <w:rsid w:val="006C6EA5"/>
    <w:rsid w:val="006D0ABA"/>
    <w:rsid w:val="006D0DDC"/>
    <w:rsid w:val="006D2E1E"/>
    <w:rsid w:val="006D613F"/>
    <w:rsid w:val="006D63DC"/>
    <w:rsid w:val="006D65F0"/>
    <w:rsid w:val="006E5682"/>
    <w:rsid w:val="006E60A6"/>
    <w:rsid w:val="006E7B1B"/>
    <w:rsid w:val="006F3E4A"/>
    <w:rsid w:val="006F4F6A"/>
    <w:rsid w:val="00702332"/>
    <w:rsid w:val="00704275"/>
    <w:rsid w:val="007066E0"/>
    <w:rsid w:val="0071244F"/>
    <w:rsid w:val="00715E70"/>
    <w:rsid w:val="00716D75"/>
    <w:rsid w:val="007214D0"/>
    <w:rsid w:val="00723CDE"/>
    <w:rsid w:val="00734F39"/>
    <w:rsid w:val="0073628B"/>
    <w:rsid w:val="00741BA1"/>
    <w:rsid w:val="007474CB"/>
    <w:rsid w:val="00747C5A"/>
    <w:rsid w:val="00753698"/>
    <w:rsid w:val="00754126"/>
    <w:rsid w:val="00756DF5"/>
    <w:rsid w:val="00756E63"/>
    <w:rsid w:val="007606A5"/>
    <w:rsid w:val="00770C63"/>
    <w:rsid w:val="0077209B"/>
    <w:rsid w:val="00775829"/>
    <w:rsid w:val="00777CA3"/>
    <w:rsid w:val="00785792"/>
    <w:rsid w:val="007906BC"/>
    <w:rsid w:val="00790908"/>
    <w:rsid w:val="0079572C"/>
    <w:rsid w:val="00797C22"/>
    <w:rsid w:val="007A224C"/>
    <w:rsid w:val="007A263E"/>
    <w:rsid w:val="007A4B53"/>
    <w:rsid w:val="007A7934"/>
    <w:rsid w:val="007B7B83"/>
    <w:rsid w:val="007C1357"/>
    <w:rsid w:val="007C1FD2"/>
    <w:rsid w:val="007C611C"/>
    <w:rsid w:val="007D1005"/>
    <w:rsid w:val="007D687D"/>
    <w:rsid w:val="007E13C2"/>
    <w:rsid w:val="007E2678"/>
    <w:rsid w:val="007F13D8"/>
    <w:rsid w:val="007F1A38"/>
    <w:rsid w:val="00802231"/>
    <w:rsid w:val="00803088"/>
    <w:rsid w:val="008052C8"/>
    <w:rsid w:val="00807383"/>
    <w:rsid w:val="008139C6"/>
    <w:rsid w:val="00815202"/>
    <w:rsid w:val="00816459"/>
    <w:rsid w:val="00816613"/>
    <w:rsid w:val="008167ED"/>
    <w:rsid w:val="00816A7F"/>
    <w:rsid w:val="00816C40"/>
    <w:rsid w:val="00817AA1"/>
    <w:rsid w:val="008277F0"/>
    <w:rsid w:val="00831AB0"/>
    <w:rsid w:val="008334DD"/>
    <w:rsid w:val="008364F3"/>
    <w:rsid w:val="00837DE2"/>
    <w:rsid w:val="008401E7"/>
    <w:rsid w:val="00841E0F"/>
    <w:rsid w:val="00842175"/>
    <w:rsid w:val="00843EA6"/>
    <w:rsid w:val="008443E4"/>
    <w:rsid w:val="008543D9"/>
    <w:rsid w:val="0085471B"/>
    <w:rsid w:val="008557D3"/>
    <w:rsid w:val="008566F0"/>
    <w:rsid w:val="00864347"/>
    <w:rsid w:val="00864407"/>
    <w:rsid w:val="00865C4E"/>
    <w:rsid w:val="008710CB"/>
    <w:rsid w:val="008730E9"/>
    <w:rsid w:val="0087461F"/>
    <w:rsid w:val="00877C23"/>
    <w:rsid w:val="00877CF1"/>
    <w:rsid w:val="00882D71"/>
    <w:rsid w:val="008848C8"/>
    <w:rsid w:val="00894320"/>
    <w:rsid w:val="00895F12"/>
    <w:rsid w:val="008B1CA4"/>
    <w:rsid w:val="008B2249"/>
    <w:rsid w:val="008B46C4"/>
    <w:rsid w:val="008B5244"/>
    <w:rsid w:val="008B7EF5"/>
    <w:rsid w:val="008C0279"/>
    <w:rsid w:val="008C1BEE"/>
    <w:rsid w:val="008C3FAF"/>
    <w:rsid w:val="008C5C5D"/>
    <w:rsid w:val="008C6DA4"/>
    <w:rsid w:val="008D5DD7"/>
    <w:rsid w:val="008D7715"/>
    <w:rsid w:val="008E3E62"/>
    <w:rsid w:val="008F098F"/>
    <w:rsid w:val="008F35D3"/>
    <w:rsid w:val="00901976"/>
    <w:rsid w:val="00910AA6"/>
    <w:rsid w:val="009118F5"/>
    <w:rsid w:val="0092035B"/>
    <w:rsid w:val="00923120"/>
    <w:rsid w:val="00930302"/>
    <w:rsid w:val="00934E9C"/>
    <w:rsid w:val="009427D4"/>
    <w:rsid w:val="00945999"/>
    <w:rsid w:val="00945D5F"/>
    <w:rsid w:val="00951EE7"/>
    <w:rsid w:val="009531B4"/>
    <w:rsid w:val="00960F8C"/>
    <w:rsid w:val="00963170"/>
    <w:rsid w:val="00970B31"/>
    <w:rsid w:val="0097211E"/>
    <w:rsid w:val="009746C7"/>
    <w:rsid w:val="0098504E"/>
    <w:rsid w:val="00990577"/>
    <w:rsid w:val="00990E95"/>
    <w:rsid w:val="009950E3"/>
    <w:rsid w:val="009A0AE7"/>
    <w:rsid w:val="009A0FD8"/>
    <w:rsid w:val="009A2FA4"/>
    <w:rsid w:val="009A3271"/>
    <w:rsid w:val="009A4FD4"/>
    <w:rsid w:val="009C3435"/>
    <w:rsid w:val="009C65C5"/>
    <w:rsid w:val="009C7E30"/>
    <w:rsid w:val="009C7F75"/>
    <w:rsid w:val="009D0D27"/>
    <w:rsid w:val="009D392B"/>
    <w:rsid w:val="009D48A0"/>
    <w:rsid w:val="009E01C1"/>
    <w:rsid w:val="009E2829"/>
    <w:rsid w:val="009E545F"/>
    <w:rsid w:val="009E5F7E"/>
    <w:rsid w:val="009F128F"/>
    <w:rsid w:val="009F1F7D"/>
    <w:rsid w:val="009F7035"/>
    <w:rsid w:val="00A02C36"/>
    <w:rsid w:val="00A03628"/>
    <w:rsid w:val="00A054D7"/>
    <w:rsid w:val="00A07BCC"/>
    <w:rsid w:val="00A10E13"/>
    <w:rsid w:val="00A11434"/>
    <w:rsid w:val="00A171E6"/>
    <w:rsid w:val="00A20E55"/>
    <w:rsid w:val="00A21D65"/>
    <w:rsid w:val="00A21DE9"/>
    <w:rsid w:val="00A2719F"/>
    <w:rsid w:val="00A3285A"/>
    <w:rsid w:val="00A3799B"/>
    <w:rsid w:val="00A42563"/>
    <w:rsid w:val="00A43EFD"/>
    <w:rsid w:val="00A4628A"/>
    <w:rsid w:val="00A53B35"/>
    <w:rsid w:val="00A54561"/>
    <w:rsid w:val="00A54693"/>
    <w:rsid w:val="00A55E51"/>
    <w:rsid w:val="00A61266"/>
    <w:rsid w:val="00A61B30"/>
    <w:rsid w:val="00A63D5E"/>
    <w:rsid w:val="00A65EC1"/>
    <w:rsid w:val="00A67C43"/>
    <w:rsid w:val="00A7154F"/>
    <w:rsid w:val="00A740E2"/>
    <w:rsid w:val="00A86A86"/>
    <w:rsid w:val="00A908F8"/>
    <w:rsid w:val="00A92D0B"/>
    <w:rsid w:val="00A9313C"/>
    <w:rsid w:val="00A9371A"/>
    <w:rsid w:val="00A97B81"/>
    <w:rsid w:val="00AA1949"/>
    <w:rsid w:val="00AA1CF6"/>
    <w:rsid w:val="00AA5FDB"/>
    <w:rsid w:val="00AA6DE2"/>
    <w:rsid w:val="00AB0C01"/>
    <w:rsid w:val="00AB2CDA"/>
    <w:rsid w:val="00AB3C59"/>
    <w:rsid w:val="00AB713F"/>
    <w:rsid w:val="00AC16AF"/>
    <w:rsid w:val="00AC6380"/>
    <w:rsid w:val="00AD0536"/>
    <w:rsid w:val="00AD1648"/>
    <w:rsid w:val="00AD6CF9"/>
    <w:rsid w:val="00AE113E"/>
    <w:rsid w:val="00AE4152"/>
    <w:rsid w:val="00AE7D85"/>
    <w:rsid w:val="00B017D7"/>
    <w:rsid w:val="00B037B5"/>
    <w:rsid w:val="00B05C49"/>
    <w:rsid w:val="00B074A4"/>
    <w:rsid w:val="00B07DE2"/>
    <w:rsid w:val="00B170C8"/>
    <w:rsid w:val="00B17ADA"/>
    <w:rsid w:val="00B22F8D"/>
    <w:rsid w:val="00B239E8"/>
    <w:rsid w:val="00B303A5"/>
    <w:rsid w:val="00B30C4F"/>
    <w:rsid w:val="00B32274"/>
    <w:rsid w:val="00B3368A"/>
    <w:rsid w:val="00B3471C"/>
    <w:rsid w:val="00B4291A"/>
    <w:rsid w:val="00B436C6"/>
    <w:rsid w:val="00B44641"/>
    <w:rsid w:val="00B5451E"/>
    <w:rsid w:val="00B57EC6"/>
    <w:rsid w:val="00B63CEC"/>
    <w:rsid w:val="00B64EA4"/>
    <w:rsid w:val="00B712FD"/>
    <w:rsid w:val="00B86686"/>
    <w:rsid w:val="00B9088E"/>
    <w:rsid w:val="00B922EB"/>
    <w:rsid w:val="00B9373C"/>
    <w:rsid w:val="00B96432"/>
    <w:rsid w:val="00BA100D"/>
    <w:rsid w:val="00BA20F2"/>
    <w:rsid w:val="00BA3543"/>
    <w:rsid w:val="00BA3CE3"/>
    <w:rsid w:val="00BC211F"/>
    <w:rsid w:val="00BC2F1A"/>
    <w:rsid w:val="00BC37EF"/>
    <w:rsid w:val="00BC39ED"/>
    <w:rsid w:val="00BC44EB"/>
    <w:rsid w:val="00BC7C82"/>
    <w:rsid w:val="00BD79D0"/>
    <w:rsid w:val="00BE34D3"/>
    <w:rsid w:val="00BE368B"/>
    <w:rsid w:val="00BE3C2D"/>
    <w:rsid w:val="00BF087A"/>
    <w:rsid w:val="00BF0F10"/>
    <w:rsid w:val="00BF2F48"/>
    <w:rsid w:val="00BF45FC"/>
    <w:rsid w:val="00C0237C"/>
    <w:rsid w:val="00C12975"/>
    <w:rsid w:val="00C1428B"/>
    <w:rsid w:val="00C20880"/>
    <w:rsid w:val="00C213AE"/>
    <w:rsid w:val="00C25CF2"/>
    <w:rsid w:val="00C275D0"/>
    <w:rsid w:val="00C414EF"/>
    <w:rsid w:val="00C430A7"/>
    <w:rsid w:val="00C60B44"/>
    <w:rsid w:val="00C627F9"/>
    <w:rsid w:val="00C64ED0"/>
    <w:rsid w:val="00C657DA"/>
    <w:rsid w:val="00C71A97"/>
    <w:rsid w:val="00C76E2A"/>
    <w:rsid w:val="00C819CA"/>
    <w:rsid w:val="00C87C16"/>
    <w:rsid w:val="00CA329E"/>
    <w:rsid w:val="00CA613C"/>
    <w:rsid w:val="00CA7331"/>
    <w:rsid w:val="00CB1378"/>
    <w:rsid w:val="00CB34F9"/>
    <w:rsid w:val="00CB552A"/>
    <w:rsid w:val="00CB6DAA"/>
    <w:rsid w:val="00CC5131"/>
    <w:rsid w:val="00CD12EE"/>
    <w:rsid w:val="00CD52B5"/>
    <w:rsid w:val="00CD52F9"/>
    <w:rsid w:val="00CE7649"/>
    <w:rsid w:val="00CF4A14"/>
    <w:rsid w:val="00CF696B"/>
    <w:rsid w:val="00D00578"/>
    <w:rsid w:val="00D02ADC"/>
    <w:rsid w:val="00D02EB6"/>
    <w:rsid w:val="00D03214"/>
    <w:rsid w:val="00D052ED"/>
    <w:rsid w:val="00D069C4"/>
    <w:rsid w:val="00D12BD9"/>
    <w:rsid w:val="00D14EEB"/>
    <w:rsid w:val="00D16BFB"/>
    <w:rsid w:val="00D17ADB"/>
    <w:rsid w:val="00D3556B"/>
    <w:rsid w:val="00D366E7"/>
    <w:rsid w:val="00D445F9"/>
    <w:rsid w:val="00D50F0C"/>
    <w:rsid w:val="00D5115E"/>
    <w:rsid w:val="00D52596"/>
    <w:rsid w:val="00D53FB0"/>
    <w:rsid w:val="00D57A8B"/>
    <w:rsid w:val="00D57F10"/>
    <w:rsid w:val="00D63C73"/>
    <w:rsid w:val="00D71A9C"/>
    <w:rsid w:val="00D72999"/>
    <w:rsid w:val="00D77EFE"/>
    <w:rsid w:val="00D811E4"/>
    <w:rsid w:val="00D81ABC"/>
    <w:rsid w:val="00D86F20"/>
    <w:rsid w:val="00D93176"/>
    <w:rsid w:val="00D960F8"/>
    <w:rsid w:val="00DA18E3"/>
    <w:rsid w:val="00DA20C1"/>
    <w:rsid w:val="00DA6DD7"/>
    <w:rsid w:val="00DB1EE0"/>
    <w:rsid w:val="00DB299E"/>
    <w:rsid w:val="00DC3EA3"/>
    <w:rsid w:val="00DC6944"/>
    <w:rsid w:val="00DD3731"/>
    <w:rsid w:val="00DE0A47"/>
    <w:rsid w:val="00DE19A0"/>
    <w:rsid w:val="00DE3902"/>
    <w:rsid w:val="00DF1863"/>
    <w:rsid w:val="00DF3B11"/>
    <w:rsid w:val="00DF5BA3"/>
    <w:rsid w:val="00DF70F2"/>
    <w:rsid w:val="00E0764B"/>
    <w:rsid w:val="00E104AA"/>
    <w:rsid w:val="00E14D38"/>
    <w:rsid w:val="00E26B0D"/>
    <w:rsid w:val="00E30C53"/>
    <w:rsid w:val="00E31718"/>
    <w:rsid w:val="00E3318C"/>
    <w:rsid w:val="00E34A3B"/>
    <w:rsid w:val="00E36C8E"/>
    <w:rsid w:val="00E37D0C"/>
    <w:rsid w:val="00E40081"/>
    <w:rsid w:val="00E40401"/>
    <w:rsid w:val="00E4343E"/>
    <w:rsid w:val="00E52B16"/>
    <w:rsid w:val="00E571C4"/>
    <w:rsid w:val="00E637E8"/>
    <w:rsid w:val="00E642D6"/>
    <w:rsid w:val="00E6484D"/>
    <w:rsid w:val="00E64ED7"/>
    <w:rsid w:val="00E66454"/>
    <w:rsid w:val="00E71C94"/>
    <w:rsid w:val="00E744C7"/>
    <w:rsid w:val="00E753FD"/>
    <w:rsid w:val="00E8028A"/>
    <w:rsid w:val="00E91B83"/>
    <w:rsid w:val="00E97F0F"/>
    <w:rsid w:val="00EA0029"/>
    <w:rsid w:val="00EA06BC"/>
    <w:rsid w:val="00EB041F"/>
    <w:rsid w:val="00EB41C5"/>
    <w:rsid w:val="00EB4E46"/>
    <w:rsid w:val="00EC175C"/>
    <w:rsid w:val="00EC1A56"/>
    <w:rsid w:val="00ED048A"/>
    <w:rsid w:val="00ED4B11"/>
    <w:rsid w:val="00EE1A26"/>
    <w:rsid w:val="00EE2851"/>
    <w:rsid w:val="00EE466E"/>
    <w:rsid w:val="00EE536E"/>
    <w:rsid w:val="00EE7F8B"/>
    <w:rsid w:val="00EF1347"/>
    <w:rsid w:val="00EF783E"/>
    <w:rsid w:val="00F17B31"/>
    <w:rsid w:val="00F22F14"/>
    <w:rsid w:val="00F2433D"/>
    <w:rsid w:val="00F2440A"/>
    <w:rsid w:val="00F25155"/>
    <w:rsid w:val="00F25918"/>
    <w:rsid w:val="00F31076"/>
    <w:rsid w:val="00F3154F"/>
    <w:rsid w:val="00F33934"/>
    <w:rsid w:val="00F40059"/>
    <w:rsid w:val="00F46295"/>
    <w:rsid w:val="00F500D9"/>
    <w:rsid w:val="00F529C0"/>
    <w:rsid w:val="00F54754"/>
    <w:rsid w:val="00F56EAC"/>
    <w:rsid w:val="00F6345B"/>
    <w:rsid w:val="00F7147C"/>
    <w:rsid w:val="00F73271"/>
    <w:rsid w:val="00F73A86"/>
    <w:rsid w:val="00F9024D"/>
    <w:rsid w:val="00F90D84"/>
    <w:rsid w:val="00F960E7"/>
    <w:rsid w:val="00FA15BB"/>
    <w:rsid w:val="00FA210D"/>
    <w:rsid w:val="00FB102F"/>
    <w:rsid w:val="00FB3A26"/>
    <w:rsid w:val="00FB4519"/>
    <w:rsid w:val="00FB4652"/>
    <w:rsid w:val="00FB5B9D"/>
    <w:rsid w:val="00FC291F"/>
    <w:rsid w:val="00FC3E1B"/>
    <w:rsid w:val="00FC4D59"/>
    <w:rsid w:val="00FC60C7"/>
    <w:rsid w:val="00FC749B"/>
    <w:rsid w:val="00FC7B5A"/>
    <w:rsid w:val="00FD08BD"/>
    <w:rsid w:val="00FD2A83"/>
    <w:rsid w:val="00FD5780"/>
    <w:rsid w:val="00FD6FBC"/>
    <w:rsid w:val="00FE16F5"/>
    <w:rsid w:val="00FE19CC"/>
    <w:rsid w:val="00FE380B"/>
    <w:rsid w:val="00FE40F6"/>
    <w:rsid w:val="00FE5FE0"/>
    <w:rsid w:val="00FE7B81"/>
    <w:rsid w:val="00FF1A55"/>
    <w:rsid w:val="00FF7355"/>
    <w:rsid w:val="00FF7911"/>
    <w:rsid w:val="01636F01"/>
    <w:rsid w:val="01A9171B"/>
    <w:rsid w:val="01DB74FE"/>
    <w:rsid w:val="02163CDD"/>
    <w:rsid w:val="027F0D30"/>
    <w:rsid w:val="02A16996"/>
    <w:rsid w:val="02EA062A"/>
    <w:rsid w:val="0312758B"/>
    <w:rsid w:val="035C5045"/>
    <w:rsid w:val="036E3843"/>
    <w:rsid w:val="03795BF7"/>
    <w:rsid w:val="03B925E8"/>
    <w:rsid w:val="055B4F58"/>
    <w:rsid w:val="05B10095"/>
    <w:rsid w:val="05F872A7"/>
    <w:rsid w:val="05FC53C3"/>
    <w:rsid w:val="06001F2B"/>
    <w:rsid w:val="060A5530"/>
    <w:rsid w:val="06147E59"/>
    <w:rsid w:val="064626A6"/>
    <w:rsid w:val="064C4924"/>
    <w:rsid w:val="06E779F2"/>
    <w:rsid w:val="06F55FF4"/>
    <w:rsid w:val="07754928"/>
    <w:rsid w:val="07D736CB"/>
    <w:rsid w:val="080E105C"/>
    <w:rsid w:val="08167387"/>
    <w:rsid w:val="08762585"/>
    <w:rsid w:val="089B6610"/>
    <w:rsid w:val="091A6AE6"/>
    <w:rsid w:val="09760CC5"/>
    <w:rsid w:val="09B46E3D"/>
    <w:rsid w:val="0A254C36"/>
    <w:rsid w:val="0A2A19F9"/>
    <w:rsid w:val="0AC751CA"/>
    <w:rsid w:val="0ACA0828"/>
    <w:rsid w:val="0AD3127A"/>
    <w:rsid w:val="0AE63045"/>
    <w:rsid w:val="0AEC4F01"/>
    <w:rsid w:val="0B95784F"/>
    <w:rsid w:val="0BAB0918"/>
    <w:rsid w:val="0BC730F8"/>
    <w:rsid w:val="0BEB34A7"/>
    <w:rsid w:val="0BF5280B"/>
    <w:rsid w:val="0D2210AE"/>
    <w:rsid w:val="0D6671EC"/>
    <w:rsid w:val="0D7428CB"/>
    <w:rsid w:val="0DA6139D"/>
    <w:rsid w:val="0DF93BBD"/>
    <w:rsid w:val="0E813BB2"/>
    <w:rsid w:val="0EB0407F"/>
    <w:rsid w:val="0F5D3867"/>
    <w:rsid w:val="0F6F741E"/>
    <w:rsid w:val="0FFE370C"/>
    <w:rsid w:val="10714102"/>
    <w:rsid w:val="10AF3DB8"/>
    <w:rsid w:val="10B60B86"/>
    <w:rsid w:val="10C51FB6"/>
    <w:rsid w:val="110C00AB"/>
    <w:rsid w:val="114E17AD"/>
    <w:rsid w:val="115405EF"/>
    <w:rsid w:val="115B2DE0"/>
    <w:rsid w:val="118045F5"/>
    <w:rsid w:val="11823EC9"/>
    <w:rsid w:val="11C61B33"/>
    <w:rsid w:val="11CF7E49"/>
    <w:rsid w:val="12170AB5"/>
    <w:rsid w:val="121E0096"/>
    <w:rsid w:val="122539E7"/>
    <w:rsid w:val="1266706A"/>
    <w:rsid w:val="12A615A9"/>
    <w:rsid w:val="12F6477D"/>
    <w:rsid w:val="1347361C"/>
    <w:rsid w:val="14452836"/>
    <w:rsid w:val="149E54BE"/>
    <w:rsid w:val="149F13F6"/>
    <w:rsid w:val="14C15E20"/>
    <w:rsid w:val="14D51331"/>
    <w:rsid w:val="15521B3F"/>
    <w:rsid w:val="16300397"/>
    <w:rsid w:val="1720665E"/>
    <w:rsid w:val="172A3B3C"/>
    <w:rsid w:val="181A7E71"/>
    <w:rsid w:val="18305897"/>
    <w:rsid w:val="18D94D16"/>
    <w:rsid w:val="190A1296"/>
    <w:rsid w:val="195F08E9"/>
    <w:rsid w:val="19687E48"/>
    <w:rsid w:val="19DD25E4"/>
    <w:rsid w:val="19FE255B"/>
    <w:rsid w:val="1A356C9C"/>
    <w:rsid w:val="1A7C48D5"/>
    <w:rsid w:val="1AE87493"/>
    <w:rsid w:val="1AEC60A6"/>
    <w:rsid w:val="1AF079B3"/>
    <w:rsid w:val="1B0B020A"/>
    <w:rsid w:val="1B682381"/>
    <w:rsid w:val="1BDA4026"/>
    <w:rsid w:val="1BEC2FB3"/>
    <w:rsid w:val="1C542416"/>
    <w:rsid w:val="1C5C1B84"/>
    <w:rsid w:val="1DF81083"/>
    <w:rsid w:val="1E4531BB"/>
    <w:rsid w:val="1E544E3F"/>
    <w:rsid w:val="1E952477"/>
    <w:rsid w:val="1EA96F39"/>
    <w:rsid w:val="1F5570C1"/>
    <w:rsid w:val="1F667DEB"/>
    <w:rsid w:val="1F777037"/>
    <w:rsid w:val="1F7854E2"/>
    <w:rsid w:val="1F8D55CB"/>
    <w:rsid w:val="1FE60710"/>
    <w:rsid w:val="1FF70178"/>
    <w:rsid w:val="2000702C"/>
    <w:rsid w:val="20297421"/>
    <w:rsid w:val="203E7571"/>
    <w:rsid w:val="205E3B82"/>
    <w:rsid w:val="20C571F5"/>
    <w:rsid w:val="213C250B"/>
    <w:rsid w:val="21CB5418"/>
    <w:rsid w:val="225E31CF"/>
    <w:rsid w:val="226A23B4"/>
    <w:rsid w:val="229E2B2D"/>
    <w:rsid w:val="22BB723B"/>
    <w:rsid w:val="22F83A17"/>
    <w:rsid w:val="23076924"/>
    <w:rsid w:val="230B683A"/>
    <w:rsid w:val="2318643B"/>
    <w:rsid w:val="2329689A"/>
    <w:rsid w:val="237F64BA"/>
    <w:rsid w:val="23D30931"/>
    <w:rsid w:val="23D36806"/>
    <w:rsid w:val="23D42896"/>
    <w:rsid w:val="242C4788"/>
    <w:rsid w:val="24600A32"/>
    <w:rsid w:val="246F66DB"/>
    <w:rsid w:val="24895BFA"/>
    <w:rsid w:val="24967F5F"/>
    <w:rsid w:val="24DE652B"/>
    <w:rsid w:val="25331C52"/>
    <w:rsid w:val="25E5716D"/>
    <w:rsid w:val="261171C2"/>
    <w:rsid w:val="264A0522"/>
    <w:rsid w:val="265B6165"/>
    <w:rsid w:val="26A20E2F"/>
    <w:rsid w:val="26BE379D"/>
    <w:rsid w:val="26CC19EC"/>
    <w:rsid w:val="273E668C"/>
    <w:rsid w:val="27750300"/>
    <w:rsid w:val="277D0F63"/>
    <w:rsid w:val="27B806B9"/>
    <w:rsid w:val="28164F13"/>
    <w:rsid w:val="288F53F1"/>
    <w:rsid w:val="28C706C4"/>
    <w:rsid w:val="29114FDA"/>
    <w:rsid w:val="29451F54"/>
    <w:rsid w:val="2A18051C"/>
    <w:rsid w:val="2A3C2F20"/>
    <w:rsid w:val="2A505768"/>
    <w:rsid w:val="2A5B3AEE"/>
    <w:rsid w:val="2AC1560A"/>
    <w:rsid w:val="2ADC2444"/>
    <w:rsid w:val="2AE03979"/>
    <w:rsid w:val="2BEC00FB"/>
    <w:rsid w:val="2BF37734"/>
    <w:rsid w:val="2C1D30CB"/>
    <w:rsid w:val="2C1F219B"/>
    <w:rsid w:val="2D140C99"/>
    <w:rsid w:val="2D5A30FD"/>
    <w:rsid w:val="2DA84860"/>
    <w:rsid w:val="2DF857E7"/>
    <w:rsid w:val="2E5B3D7B"/>
    <w:rsid w:val="2E8E6D0D"/>
    <w:rsid w:val="2ECD75AB"/>
    <w:rsid w:val="2F2E016A"/>
    <w:rsid w:val="2F432A92"/>
    <w:rsid w:val="2F5E4FA6"/>
    <w:rsid w:val="2F93107C"/>
    <w:rsid w:val="2FC43093"/>
    <w:rsid w:val="3022068C"/>
    <w:rsid w:val="302A3C52"/>
    <w:rsid w:val="30471E1A"/>
    <w:rsid w:val="30DB643E"/>
    <w:rsid w:val="30F878AC"/>
    <w:rsid w:val="31085D41"/>
    <w:rsid w:val="31BC3137"/>
    <w:rsid w:val="31CB13C9"/>
    <w:rsid w:val="321A2387"/>
    <w:rsid w:val="322F7DD7"/>
    <w:rsid w:val="325D030E"/>
    <w:rsid w:val="329F6677"/>
    <w:rsid w:val="332A465C"/>
    <w:rsid w:val="33302D95"/>
    <w:rsid w:val="33702927"/>
    <w:rsid w:val="33835B53"/>
    <w:rsid w:val="34126ED7"/>
    <w:rsid w:val="34247DAB"/>
    <w:rsid w:val="346F60D7"/>
    <w:rsid w:val="359F29EC"/>
    <w:rsid w:val="35F76384"/>
    <w:rsid w:val="36125372"/>
    <w:rsid w:val="36812553"/>
    <w:rsid w:val="369736C3"/>
    <w:rsid w:val="36F25A8F"/>
    <w:rsid w:val="37616D6A"/>
    <w:rsid w:val="37A91900"/>
    <w:rsid w:val="37E22E22"/>
    <w:rsid w:val="381F0910"/>
    <w:rsid w:val="38771705"/>
    <w:rsid w:val="389C1E13"/>
    <w:rsid w:val="38D770D6"/>
    <w:rsid w:val="38F328FC"/>
    <w:rsid w:val="38FD0DA2"/>
    <w:rsid w:val="391E49EA"/>
    <w:rsid w:val="394112C0"/>
    <w:rsid w:val="3A2470EC"/>
    <w:rsid w:val="3A647D60"/>
    <w:rsid w:val="3A656AD3"/>
    <w:rsid w:val="3AD02BBF"/>
    <w:rsid w:val="3AF64816"/>
    <w:rsid w:val="3B676243"/>
    <w:rsid w:val="3B8B6D5C"/>
    <w:rsid w:val="3BA2752D"/>
    <w:rsid w:val="3BA77486"/>
    <w:rsid w:val="3BAB02CC"/>
    <w:rsid w:val="3C1A101E"/>
    <w:rsid w:val="3C4B5D39"/>
    <w:rsid w:val="3C4C49EA"/>
    <w:rsid w:val="3C7C75E3"/>
    <w:rsid w:val="3CA83ED4"/>
    <w:rsid w:val="3D1A7F6D"/>
    <w:rsid w:val="3E560317"/>
    <w:rsid w:val="3E88226F"/>
    <w:rsid w:val="3EAF5499"/>
    <w:rsid w:val="3EF90895"/>
    <w:rsid w:val="3F322CEC"/>
    <w:rsid w:val="3F6E037F"/>
    <w:rsid w:val="3F8D7C8C"/>
    <w:rsid w:val="3FD23FB3"/>
    <w:rsid w:val="3FE6171A"/>
    <w:rsid w:val="402E034B"/>
    <w:rsid w:val="40595B8D"/>
    <w:rsid w:val="40624BC8"/>
    <w:rsid w:val="407F76A2"/>
    <w:rsid w:val="41345E3D"/>
    <w:rsid w:val="41524DB6"/>
    <w:rsid w:val="41AE0CE8"/>
    <w:rsid w:val="41B415CD"/>
    <w:rsid w:val="42051A04"/>
    <w:rsid w:val="429B37B1"/>
    <w:rsid w:val="43004C7D"/>
    <w:rsid w:val="43120CA1"/>
    <w:rsid w:val="43747266"/>
    <w:rsid w:val="438C3388"/>
    <w:rsid w:val="448E77DC"/>
    <w:rsid w:val="44AB4F09"/>
    <w:rsid w:val="44B90D10"/>
    <w:rsid w:val="45060392"/>
    <w:rsid w:val="450665E4"/>
    <w:rsid w:val="45362350"/>
    <w:rsid w:val="456F5BB8"/>
    <w:rsid w:val="45E47C12"/>
    <w:rsid w:val="45E570A4"/>
    <w:rsid w:val="464F6905"/>
    <w:rsid w:val="46525387"/>
    <w:rsid w:val="46535859"/>
    <w:rsid w:val="46F73D97"/>
    <w:rsid w:val="472D789A"/>
    <w:rsid w:val="475A2C17"/>
    <w:rsid w:val="4851130F"/>
    <w:rsid w:val="487A531F"/>
    <w:rsid w:val="48953663"/>
    <w:rsid w:val="48A04659"/>
    <w:rsid w:val="48A26623"/>
    <w:rsid w:val="48D43E75"/>
    <w:rsid w:val="48E24D08"/>
    <w:rsid w:val="492470E3"/>
    <w:rsid w:val="49463453"/>
    <w:rsid w:val="494F6932"/>
    <w:rsid w:val="497A426C"/>
    <w:rsid w:val="49BF6D61"/>
    <w:rsid w:val="4A34774F"/>
    <w:rsid w:val="4A55034F"/>
    <w:rsid w:val="4AA046CC"/>
    <w:rsid w:val="4AB83FEF"/>
    <w:rsid w:val="4ABB1C1E"/>
    <w:rsid w:val="4AF60ADC"/>
    <w:rsid w:val="4AF82A57"/>
    <w:rsid w:val="4B1C6761"/>
    <w:rsid w:val="4B2556C2"/>
    <w:rsid w:val="4B2B3F06"/>
    <w:rsid w:val="4B8600DF"/>
    <w:rsid w:val="4C3703CD"/>
    <w:rsid w:val="4C6E12EB"/>
    <w:rsid w:val="4C792459"/>
    <w:rsid w:val="4CBC278F"/>
    <w:rsid w:val="4D1704D4"/>
    <w:rsid w:val="4D5819A6"/>
    <w:rsid w:val="4DA42401"/>
    <w:rsid w:val="4EB25BDD"/>
    <w:rsid w:val="4EE23C1E"/>
    <w:rsid w:val="4F3F1BE3"/>
    <w:rsid w:val="4FB00016"/>
    <w:rsid w:val="4FD42CCF"/>
    <w:rsid w:val="500C67CE"/>
    <w:rsid w:val="50400758"/>
    <w:rsid w:val="50687B4B"/>
    <w:rsid w:val="51221133"/>
    <w:rsid w:val="51234FC4"/>
    <w:rsid w:val="512E7D96"/>
    <w:rsid w:val="51990B70"/>
    <w:rsid w:val="51B03129"/>
    <w:rsid w:val="51DB6702"/>
    <w:rsid w:val="52FE6B4C"/>
    <w:rsid w:val="53EA405E"/>
    <w:rsid w:val="53F12868"/>
    <w:rsid w:val="54184E57"/>
    <w:rsid w:val="541960F0"/>
    <w:rsid w:val="544D2B57"/>
    <w:rsid w:val="548A6712"/>
    <w:rsid w:val="54BE120C"/>
    <w:rsid w:val="54C86DF9"/>
    <w:rsid w:val="54DA125D"/>
    <w:rsid w:val="54E87AB4"/>
    <w:rsid w:val="55582054"/>
    <w:rsid w:val="55595459"/>
    <w:rsid w:val="55884D97"/>
    <w:rsid w:val="55A7069A"/>
    <w:rsid w:val="55B21128"/>
    <w:rsid w:val="565D002E"/>
    <w:rsid w:val="56717635"/>
    <w:rsid w:val="56AA4B73"/>
    <w:rsid w:val="56D7455D"/>
    <w:rsid w:val="56D976B4"/>
    <w:rsid w:val="573220C7"/>
    <w:rsid w:val="578F4A01"/>
    <w:rsid w:val="579B705F"/>
    <w:rsid w:val="57E43FBD"/>
    <w:rsid w:val="58256A2B"/>
    <w:rsid w:val="58B91C81"/>
    <w:rsid w:val="58F535C6"/>
    <w:rsid w:val="59684D1F"/>
    <w:rsid w:val="59914276"/>
    <w:rsid w:val="5996577E"/>
    <w:rsid w:val="59C30027"/>
    <w:rsid w:val="5A3219C8"/>
    <w:rsid w:val="5A34734F"/>
    <w:rsid w:val="5A380B96"/>
    <w:rsid w:val="5A445BD2"/>
    <w:rsid w:val="5A4E5B2E"/>
    <w:rsid w:val="5A60482B"/>
    <w:rsid w:val="5A680F7C"/>
    <w:rsid w:val="5A865020"/>
    <w:rsid w:val="5AD46301"/>
    <w:rsid w:val="5AD85C60"/>
    <w:rsid w:val="5AFE483B"/>
    <w:rsid w:val="5B0F614B"/>
    <w:rsid w:val="5B673C31"/>
    <w:rsid w:val="5BB75B84"/>
    <w:rsid w:val="5BC87CB8"/>
    <w:rsid w:val="5C170933"/>
    <w:rsid w:val="5C2F421A"/>
    <w:rsid w:val="5C5E2F13"/>
    <w:rsid w:val="5C7E73F8"/>
    <w:rsid w:val="5C950521"/>
    <w:rsid w:val="5CC37973"/>
    <w:rsid w:val="5CF82EF2"/>
    <w:rsid w:val="5D485594"/>
    <w:rsid w:val="5DB75925"/>
    <w:rsid w:val="5E22791D"/>
    <w:rsid w:val="5E2D3676"/>
    <w:rsid w:val="5E3C677A"/>
    <w:rsid w:val="5E5F6487"/>
    <w:rsid w:val="5E672E0C"/>
    <w:rsid w:val="5EA0470E"/>
    <w:rsid w:val="5EEC55F8"/>
    <w:rsid w:val="5F0F7E12"/>
    <w:rsid w:val="5F3833E6"/>
    <w:rsid w:val="5F842AE3"/>
    <w:rsid w:val="60107EBF"/>
    <w:rsid w:val="601259E5"/>
    <w:rsid w:val="60341DFF"/>
    <w:rsid w:val="604A33D1"/>
    <w:rsid w:val="60F03797"/>
    <w:rsid w:val="60FA31F0"/>
    <w:rsid w:val="614D1F3F"/>
    <w:rsid w:val="61E30FF1"/>
    <w:rsid w:val="62816293"/>
    <w:rsid w:val="62B93F5A"/>
    <w:rsid w:val="62CD0900"/>
    <w:rsid w:val="633E5402"/>
    <w:rsid w:val="63545442"/>
    <w:rsid w:val="635E0C69"/>
    <w:rsid w:val="638561D1"/>
    <w:rsid w:val="641B6322"/>
    <w:rsid w:val="645C0E1F"/>
    <w:rsid w:val="64640009"/>
    <w:rsid w:val="64814962"/>
    <w:rsid w:val="64EC12D3"/>
    <w:rsid w:val="64EF09EB"/>
    <w:rsid w:val="64F554EF"/>
    <w:rsid w:val="652E32C1"/>
    <w:rsid w:val="655D5710"/>
    <w:rsid w:val="66887159"/>
    <w:rsid w:val="66BD5E1B"/>
    <w:rsid w:val="66BD7E36"/>
    <w:rsid w:val="67070FD0"/>
    <w:rsid w:val="676B07FC"/>
    <w:rsid w:val="67862EBE"/>
    <w:rsid w:val="67D54C5D"/>
    <w:rsid w:val="67ED7463"/>
    <w:rsid w:val="6866628A"/>
    <w:rsid w:val="68A864D3"/>
    <w:rsid w:val="68B91736"/>
    <w:rsid w:val="68D20407"/>
    <w:rsid w:val="68F44821"/>
    <w:rsid w:val="6A0D5B9B"/>
    <w:rsid w:val="6A4530EE"/>
    <w:rsid w:val="6A9C0CCD"/>
    <w:rsid w:val="6A9E6DF6"/>
    <w:rsid w:val="6AC04C0E"/>
    <w:rsid w:val="6B201607"/>
    <w:rsid w:val="6B511AB7"/>
    <w:rsid w:val="6B5938F4"/>
    <w:rsid w:val="6BDD159D"/>
    <w:rsid w:val="6C360CAD"/>
    <w:rsid w:val="6C635F46"/>
    <w:rsid w:val="6C6B0957"/>
    <w:rsid w:val="6C8C5DB5"/>
    <w:rsid w:val="6C953C26"/>
    <w:rsid w:val="6CD5107F"/>
    <w:rsid w:val="6D0E6E32"/>
    <w:rsid w:val="6D106615"/>
    <w:rsid w:val="6D162FB8"/>
    <w:rsid w:val="6D1A7BA3"/>
    <w:rsid w:val="6D2E761C"/>
    <w:rsid w:val="6D426B97"/>
    <w:rsid w:val="6D45389E"/>
    <w:rsid w:val="6DB43729"/>
    <w:rsid w:val="6E6C4E5A"/>
    <w:rsid w:val="6EA445F4"/>
    <w:rsid w:val="6EB333C4"/>
    <w:rsid w:val="6EB8009F"/>
    <w:rsid w:val="6EDC41D0"/>
    <w:rsid w:val="6F0155A2"/>
    <w:rsid w:val="7013195D"/>
    <w:rsid w:val="7053381D"/>
    <w:rsid w:val="7101358D"/>
    <w:rsid w:val="71473037"/>
    <w:rsid w:val="71765265"/>
    <w:rsid w:val="71C233E1"/>
    <w:rsid w:val="723172E0"/>
    <w:rsid w:val="72767801"/>
    <w:rsid w:val="735815CF"/>
    <w:rsid w:val="73A126E8"/>
    <w:rsid w:val="73CA0659"/>
    <w:rsid w:val="73FE786D"/>
    <w:rsid w:val="74035665"/>
    <w:rsid w:val="74082F2F"/>
    <w:rsid w:val="74111B3C"/>
    <w:rsid w:val="7440091B"/>
    <w:rsid w:val="74454183"/>
    <w:rsid w:val="75184E92"/>
    <w:rsid w:val="75320876"/>
    <w:rsid w:val="755F74C6"/>
    <w:rsid w:val="757139A8"/>
    <w:rsid w:val="763149BF"/>
    <w:rsid w:val="76A61656"/>
    <w:rsid w:val="76B94B5B"/>
    <w:rsid w:val="773A0A2A"/>
    <w:rsid w:val="77562D04"/>
    <w:rsid w:val="77B77366"/>
    <w:rsid w:val="77BF5FFA"/>
    <w:rsid w:val="77F0057A"/>
    <w:rsid w:val="77F429F6"/>
    <w:rsid w:val="789D54C8"/>
    <w:rsid w:val="78A3550A"/>
    <w:rsid w:val="78F8515C"/>
    <w:rsid w:val="790068CB"/>
    <w:rsid w:val="79536ACE"/>
    <w:rsid w:val="799607C1"/>
    <w:rsid w:val="79C71704"/>
    <w:rsid w:val="7A8363DA"/>
    <w:rsid w:val="7B670E83"/>
    <w:rsid w:val="7BFA6928"/>
    <w:rsid w:val="7C555EFF"/>
    <w:rsid w:val="7D957E45"/>
    <w:rsid w:val="7DD7076A"/>
    <w:rsid w:val="7DE247F1"/>
    <w:rsid w:val="7E9D5926"/>
    <w:rsid w:val="7EA5419C"/>
    <w:rsid w:val="7EC73DC5"/>
    <w:rsid w:val="7F250BAA"/>
    <w:rsid w:val="7F410EA6"/>
    <w:rsid w:val="7F69341C"/>
    <w:rsid w:val="7FDD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iPriority="9" w:name="heading 3" w:locked="1"/>
    <w:lsdException w:qFormat="1" w:unhideWhenUsed="0" w:uiPriority="99" w:semiHidden="0" w:name="heading 4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qFormat="1" w:unhideWhenUsed="0" w:uiPriority="0" w:semiHidden="0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qFormat="1" w:uiPriority="39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qFormat="1" w:uiPriority="0" w:semiHidden="0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qFormat="1"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nhideWhenUsed="0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qFormat="1" w:uiPriority="99" w:semiHidden="0" w:name="Body Text First Indent"/>
    <w:lsdException w:qFormat="1" w:uiPriority="0" w:semiHidden="0" w:name="Body Text First Indent 2"/>
    <w:lsdException w:uiPriority="99" w:name="Note Heading"/>
    <w:lsdException w:qFormat="1"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4"/>
    <w:qFormat/>
    <w:uiPriority w:val="99"/>
    <w:pPr>
      <w:keepNext/>
      <w:keepLines/>
      <w:tabs>
        <w:tab w:val="left" w:pos="400"/>
      </w:tabs>
      <w:spacing w:before="340" w:after="330" w:line="576" w:lineRule="auto"/>
      <w:outlineLvl w:val="0"/>
    </w:pPr>
    <w:rPr>
      <w:b/>
      <w:bCs/>
      <w:kern w:val="44"/>
      <w:sz w:val="32"/>
      <w:szCs w:val="32"/>
    </w:rPr>
  </w:style>
  <w:style w:type="paragraph" w:styleId="3">
    <w:name w:val="heading 2"/>
    <w:basedOn w:val="1"/>
    <w:next w:val="1"/>
    <w:link w:val="25"/>
    <w:qFormat/>
    <w:uiPriority w:val="9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等线 Light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locked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6"/>
    <w:qFormat/>
    <w:uiPriority w:val="9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 w:cs="等线 Light"/>
      <w:b/>
      <w:bCs/>
      <w:sz w:val="28"/>
      <w:szCs w:val="28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next w:val="1"/>
    <w:unhideWhenUsed/>
    <w:qFormat/>
    <w:uiPriority w:val="0"/>
    <w:pPr>
      <w:spacing w:beforeLines="0" w:afterLines="0"/>
      <w:ind w:firstLine="420" w:firstLineChars="200"/>
    </w:pPr>
    <w:rPr>
      <w:rFonts w:hint="default"/>
      <w:kern w:val="2"/>
      <w:sz w:val="21"/>
      <w:szCs w:val="24"/>
      <w:lang w:eastAsia="zh-CN" w:bidi="ar-SA"/>
    </w:rPr>
  </w:style>
  <w:style w:type="paragraph" w:styleId="7">
    <w:name w:val="List Bullet"/>
    <w:basedOn w:val="1"/>
    <w:next w:val="1"/>
    <w:semiHidden/>
    <w:unhideWhenUsed/>
    <w:qFormat/>
    <w:uiPriority w:val="99"/>
    <w:pPr>
      <w:numPr>
        <w:ilvl w:val="0"/>
        <w:numId w:val="1"/>
      </w:numPr>
    </w:pPr>
  </w:style>
  <w:style w:type="paragraph" w:styleId="8">
    <w:name w:val="Document Map"/>
    <w:basedOn w:val="1"/>
    <w:link w:val="35"/>
    <w:semiHidden/>
    <w:qFormat/>
    <w:uiPriority w:val="99"/>
    <w:pPr>
      <w:shd w:val="clear" w:color="auto" w:fill="000080"/>
    </w:pPr>
  </w:style>
  <w:style w:type="paragraph" w:styleId="9">
    <w:name w:val="annotation text"/>
    <w:basedOn w:val="1"/>
    <w:semiHidden/>
    <w:unhideWhenUsed/>
    <w:qFormat/>
    <w:uiPriority w:val="99"/>
    <w:pPr>
      <w:jc w:val="left"/>
    </w:pPr>
  </w:style>
  <w:style w:type="paragraph" w:styleId="10">
    <w:name w:val="index 6"/>
    <w:basedOn w:val="1"/>
    <w:next w:val="1"/>
    <w:qFormat/>
    <w:uiPriority w:val="0"/>
    <w:pPr>
      <w:ind w:left="1000" w:leftChars="1000"/>
    </w:pPr>
  </w:style>
  <w:style w:type="paragraph" w:styleId="11">
    <w:name w:val="Body Text"/>
    <w:basedOn w:val="1"/>
    <w:link w:val="37"/>
    <w:unhideWhenUsed/>
    <w:qFormat/>
    <w:uiPriority w:val="99"/>
    <w:pPr>
      <w:widowControl w:val="0"/>
      <w:spacing w:after="120"/>
      <w:jc w:val="both"/>
    </w:pPr>
    <w:rPr>
      <w:kern w:val="2"/>
      <w:sz w:val="21"/>
    </w:rPr>
  </w:style>
  <w:style w:type="paragraph" w:styleId="12">
    <w:name w:val="Body Text Indent"/>
    <w:basedOn w:val="1"/>
    <w:link w:val="30"/>
    <w:semiHidden/>
    <w:qFormat/>
    <w:uiPriority w:val="99"/>
    <w:pPr>
      <w:spacing w:after="120"/>
      <w:ind w:left="420" w:leftChars="200"/>
    </w:pPr>
  </w:style>
  <w:style w:type="paragraph" w:styleId="13">
    <w:name w:val="Plain Text"/>
    <w:basedOn w:val="1"/>
    <w:next w:val="14"/>
    <w:semiHidden/>
    <w:unhideWhenUsed/>
    <w:qFormat/>
    <w:uiPriority w:val="99"/>
    <w:rPr>
      <w:rFonts w:ascii="宋体" w:hAnsi="Courier New" w:eastAsia="宋体" w:cs="Courier New"/>
      <w:szCs w:val="21"/>
    </w:rPr>
  </w:style>
  <w:style w:type="paragraph" w:styleId="14">
    <w:name w:val="List Number 5"/>
    <w:basedOn w:val="1"/>
    <w:semiHidden/>
    <w:unhideWhenUsed/>
    <w:qFormat/>
    <w:uiPriority w:val="99"/>
    <w:pPr>
      <w:numPr>
        <w:ilvl w:val="0"/>
        <w:numId w:val="2"/>
      </w:numPr>
    </w:pPr>
  </w:style>
  <w:style w:type="paragraph" w:styleId="15">
    <w:name w:val="footer"/>
    <w:basedOn w:val="1"/>
    <w:link w:val="3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next w:val="1"/>
    <w:link w:val="3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2"/>
    <w:basedOn w:val="1"/>
    <w:next w:val="1"/>
    <w:unhideWhenUsed/>
    <w:qFormat/>
    <w:locked/>
    <w:uiPriority w:val="39"/>
    <w:pPr>
      <w:spacing w:after="100" w:line="276" w:lineRule="auto"/>
      <w:ind w:left="220"/>
    </w:pPr>
    <w:rPr>
      <w:rFonts w:ascii="Calibri" w:hAnsi="Calibri" w:cs="黑体"/>
      <w:sz w:val="22"/>
      <w:szCs w:val="22"/>
    </w:rPr>
  </w:style>
  <w:style w:type="paragraph" w:styleId="18">
    <w:name w:val="Body Text 2"/>
    <w:basedOn w:val="1"/>
    <w:link w:val="27"/>
    <w:qFormat/>
    <w:uiPriority w:val="99"/>
    <w:rPr>
      <w:rFonts w:ascii="仿宋_GB2312" w:hAnsi="宋体" w:cs="仿宋_GB2312"/>
      <w:color w:val="FF0000"/>
      <w:sz w:val="28"/>
      <w:szCs w:val="28"/>
    </w:rPr>
  </w:style>
  <w:style w:type="paragraph" w:styleId="19">
    <w:name w:val="Body Text First Indent"/>
    <w:basedOn w:val="1"/>
    <w:next w:val="10"/>
    <w:unhideWhenUsed/>
    <w:qFormat/>
    <w:uiPriority w:val="99"/>
    <w:pPr>
      <w:ind w:firstLine="420" w:firstLineChars="100"/>
    </w:pPr>
  </w:style>
  <w:style w:type="paragraph" w:styleId="20">
    <w:name w:val="Body Text First Indent 2"/>
    <w:basedOn w:val="12"/>
    <w:next w:val="13"/>
    <w:unhideWhenUsed/>
    <w:qFormat/>
    <w:uiPriority w:val="0"/>
    <w:pPr>
      <w:widowControl/>
      <w:spacing w:after="0" w:line="360" w:lineRule="auto"/>
      <w:ind w:left="0" w:leftChars="0" w:firstLine="200" w:firstLineChars="200"/>
      <w:jc w:val="left"/>
    </w:pPr>
    <w:rPr>
      <w:rFonts w:ascii="宋体" w:hAnsi="宋体" w:eastAsia="宋体" w:cs="宋体"/>
      <w:color w:val="000000"/>
      <w:kern w:val="0"/>
      <w:sz w:val="24"/>
      <w:szCs w:val="21"/>
    </w:rPr>
  </w:style>
  <w:style w:type="table" w:styleId="22">
    <w:name w:val="Table Grid"/>
    <w:basedOn w:val="21"/>
    <w:qFormat/>
    <w:locked/>
    <w:uiPriority w:val="59"/>
    <w:rPr>
      <w:rFonts w:ascii="Calibri" w:hAnsi="Calibri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4">
    <w:name w:val="标题 1 字符"/>
    <w:link w:val="2"/>
    <w:qFormat/>
    <w:locked/>
    <w:uiPriority w:val="9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5">
    <w:name w:val="标题 2 字符"/>
    <w:link w:val="3"/>
    <w:semiHidden/>
    <w:qFormat/>
    <w:locked/>
    <w:uiPriority w:val="99"/>
    <w:rPr>
      <w:rFonts w:ascii="等线 Light" w:hAnsi="等线 Light" w:eastAsia="等线 Light" w:cs="等线 Light"/>
      <w:b/>
      <w:bCs/>
      <w:kern w:val="0"/>
      <w:sz w:val="32"/>
      <w:szCs w:val="32"/>
    </w:rPr>
  </w:style>
  <w:style w:type="character" w:customStyle="1" w:styleId="26">
    <w:name w:val="标题 4 字符"/>
    <w:link w:val="5"/>
    <w:semiHidden/>
    <w:qFormat/>
    <w:locked/>
    <w:uiPriority w:val="99"/>
    <w:rPr>
      <w:rFonts w:ascii="等线 Light" w:hAnsi="等线 Light" w:eastAsia="等线 Light" w:cs="等线 Light"/>
      <w:b/>
      <w:bCs/>
      <w:kern w:val="0"/>
      <w:sz w:val="28"/>
      <w:szCs w:val="28"/>
    </w:rPr>
  </w:style>
  <w:style w:type="character" w:customStyle="1" w:styleId="27">
    <w:name w:val="正文文本 2 字符"/>
    <w:link w:val="18"/>
    <w:qFormat/>
    <w:locked/>
    <w:uiPriority w:val="99"/>
    <w:rPr>
      <w:rFonts w:ascii="仿宋_GB2312" w:hAnsi="宋体" w:eastAsia="宋体" w:cs="仿宋_GB2312"/>
      <w:color w:val="FF0000"/>
      <w:kern w:val="0"/>
      <w:sz w:val="28"/>
      <w:szCs w:val="28"/>
    </w:rPr>
  </w:style>
  <w:style w:type="paragraph" w:customStyle="1" w:styleId="28">
    <w:name w:val="1表名"/>
    <w:basedOn w:val="1"/>
    <w:qFormat/>
    <w:uiPriority w:val="99"/>
    <w:pPr>
      <w:widowControl w:val="0"/>
      <w:spacing w:beforeLines="50"/>
      <w:jc w:val="center"/>
    </w:pPr>
    <w:rPr>
      <w:b/>
      <w:bCs/>
      <w:kern w:val="2"/>
      <w:sz w:val="21"/>
      <w:szCs w:val="21"/>
    </w:rPr>
  </w:style>
  <w:style w:type="paragraph" w:styleId="29">
    <w:name w:val="List Paragraph"/>
    <w:basedOn w:val="1"/>
    <w:qFormat/>
    <w:uiPriority w:val="34"/>
    <w:pPr>
      <w:ind w:firstLine="420" w:firstLineChars="200"/>
    </w:pPr>
  </w:style>
  <w:style w:type="character" w:customStyle="1" w:styleId="30">
    <w:name w:val="正文文本缩进 字符"/>
    <w:link w:val="12"/>
    <w:semiHidden/>
    <w:qFormat/>
    <w:locked/>
    <w:uiPriority w:val="99"/>
    <w:rPr>
      <w:rFonts w:ascii="Times New Roman" w:hAnsi="Times New Roman" w:eastAsia="宋体" w:cs="Times New Roman"/>
      <w:kern w:val="0"/>
      <w:sz w:val="24"/>
      <w:szCs w:val="24"/>
    </w:rPr>
  </w:style>
  <w:style w:type="character" w:customStyle="1" w:styleId="31">
    <w:name w:val="页眉 字符"/>
    <w:link w:val="16"/>
    <w:qFormat/>
    <w:locked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32">
    <w:name w:val="页脚 字符"/>
    <w:link w:val="15"/>
    <w:qFormat/>
    <w:locked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33">
    <w:name w:val="大风丫口正文 Char"/>
    <w:link w:val="34"/>
    <w:qFormat/>
    <w:locked/>
    <w:uiPriority w:val="99"/>
    <w:rPr>
      <w:rFonts w:eastAsia="宋体"/>
      <w:spacing w:val="10"/>
      <w:sz w:val="24"/>
      <w:szCs w:val="24"/>
    </w:rPr>
  </w:style>
  <w:style w:type="paragraph" w:customStyle="1" w:styleId="34">
    <w:name w:val="大风丫口正文"/>
    <w:basedOn w:val="1"/>
    <w:link w:val="33"/>
    <w:qFormat/>
    <w:uiPriority w:val="99"/>
    <w:pPr>
      <w:widowControl w:val="0"/>
      <w:spacing w:line="360" w:lineRule="auto"/>
      <w:ind w:firstLine="200" w:firstLineChars="200"/>
      <w:jc w:val="both"/>
    </w:pPr>
    <w:rPr>
      <w:rFonts w:ascii="等线" w:hAnsi="等线" w:cs="等线"/>
      <w:spacing w:val="10"/>
    </w:rPr>
  </w:style>
  <w:style w:type="character" w:customStyle="1" w:styleId="35">
    <w:name w:val="文档结构图 字符"/>
    <w:link w:val="8"/>
    <w:semiHidden/>
    <w:qFormat/>
    <w:uiPriority w:val="99"/>
    <w:rPr>
      <w:rFonts w:ascii="Times New Roman" w:hAnsi="Times New Roman" w:eastAsia="宋体"/>
      <w:kern w:val="0"/>
      <w:sz w:val="0"/>
      <w:szCs w:val="0"/>
    </w:rPr>
  </w:style>
  <w:style w:type="paragraph" w:customStyle="1" w:styleId="36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37">
    <w:name w:val="正文文本 字符"/>
    <w:basedOn w:val="23"/>
    <w:link w:val="11"/>
    <w:qFormat/>
    <w:uiPriority w:val="99"/>
    <w:rPr>
      <w:rFonts w:ascii="Times New Roman" w:hAnsi="Times New Roman" w:eastAsia="宋体"/>
      <w:kern w:val="2"/>
      <w:sz w:val="21"/>
      <w:szCs w:val="24"/>
    </w:rPr>
  </w:style>
  <w:style w:type="character" w:customStyle="1" w:styleId="38">
    <w:name w:val="NormalCharacter"/>
    <w:qFormat/>
    <w:uiPriority w:val="0"/>
    <w:rPr>
      <w:rFonts w:ascii="Times New Roman" w:hAnsi="Times New Roman" w:eastAsia="宋体"/>
    </w:rPr>
  </w:style>
  <w:style w:type="paragraph" w:customStyle="1" w:styleId="39">
    <w:name w:val="文本正文"/>
    <w:basedOn w:val="1"/>
    <w:qFormat/>
    <w:uiPriority w:val="0"/>
    <w:pPr>
      <w:adjustRightInd w:val="0"/>
      <w:snapToGrid w:val="0"/>
      <w:spacing w:line="360" w:lineRule="auto"/>
      <w:ind w:firstLine="200" w:firstLineChars="200"/>
    </w:pPr>
    <w:rPr>
      <w:sz w:val="24"/>
      <w:szCs w:val="20"/>
      <w:lang w:val="zh-CN"/>
    </w:rPr>
  </w:style>
  <w:style w:type="paragraph" w:customStyle="1" w:styleId="40">
    <w:name w:val="报告正文4号"/>
    <w:basedOn w:val="1"/>
    <w:qFormat/>
    <w:uiPriority w:val="0"/>
    <w:pPr>
      <w:adjustRightInd w:val="0"/>
      <w:spacing w:line="480" w:lineRule="exact"/>
      <w:ind w:firstLine="200" w:firstLineChars="200"/>
      <w:textAlignment w:val="baseline"/>
    </w:pPr>
    <w:rPr>
      <w:rFonts w:ascii="Times New Roman" w:hAnsi="Times New Roman" w:eastAsia="宋体" w:cs="Times New Roman"/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5687</Words>
  <Characters>6736</Characters>
  <Lines>67</Lines>
  <Paragraphs>18</Paragraphs>
  <TotalTime>14</TotalTime>
  <ScaleCrop>false</ScaleCrop>
  <LinksUpToDate>false</LinksUpToDate>
  <CharactersWithSpaces>6750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2021-06-28T05:40:00Z</dcterms:created>
  <dc:creator>cao xu</dc:creator>
  <cp:lastModifiedBy>EDY</cp:lastModifiedBy>
  <dcterms:modified xsi:type="dcterms:W3CDTF">2026-09-20T09:16:11Z</dcterms:modified>
  <dc:title>云南华电禄劝撒永山250MW光伏电站项目</dc:title>
  <cp:revision>325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EEC487B96BC2434F8F6D2488A229E4EF</vt:lpwstr>
  </property>
  <property fmtid="{D5CDD505-2E9C-101B-9397-08002B2CF9AE}" pid="4" name="KSOTemplateDocerSaveRecord">
    <vt:lpwstr>eyJoZGlkIjoiZWRmOTMyZGQxOTM4Y2I3NjI2NDNhZTRjNDRmYWNlMjciLCJ1c2VySWQiOiIzODc2ODUyODIifQ==</vt:lpwstr>
  </property>
</Properties>
</file>