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9C4EA">
      <w:pPr>
        <w:spacing w:line="267" w:lineRule="auto"/>
        <w:rPr>
          <w:rFonts w:ascii="Arial"/>
          <w:sz w:val="21"/>
        </w:rPr>
      </w:pPr>
    </w:p>
    <w:p w14:paraId="28B69676">
      <w:pPr>
        <w:spacing w:line="267" w:lineRule="auto"/>
        <w:rPr>
          <w:rFonts w:ascii="Arial"/>
          <w:sz w:val="21"/>
        </w:rPr>
      </w:pPr>
    </w:p>
    <w:p w14:paraId="0AD8970F">
      <w:pPr>
        <w:spacing w:line="268" w:lineRule="auto"/>
        <w:rPr>
          <w:rFonts w:ascii="Arial"/>
          <w:sz w:val="21"/>
        </w:rPr>
      </w:pPr>
    </w:p>
    <w:p w14:paraId="25627230">
      <w:pPr>
        <w:spacing w:line="268" w:lineRule="auto"/>
        <w:rPr>
          <w:rFonts w:ascii="Arial"/>
          <w:sz w:val="21"/>
        </w:rPr>
      </w:pPr>
    </w:p>
    <w:p w14:paraId="7C67BE0E">
      <w:pPr>
        <w:spacing w:line="268" w:lineRule="auto"/>
        <w:rPr>
          <w:rFonts w:ascii="Arial"/>
          <w:sz w:val="21"/>
        </w:rPr>
      </w:pPr>
    </w:p>
    <w:p w14:paraId="0176E5DC">
      <w:pPr>
        <w:spacing w:line="268" w:lineRule="auto"/>
        <w:rPr>
          <w:rFonts w:ascii="Arial"/>
          <w:sz w:val="21"/>
        </w:rPr>
      </w:pPr>
    </w:p>
    <w:p w14:paraId="0A971BCC">
      <w:pPr>
        <w:spacing w:line="268" w:lineRule="auto"/>
        <w:rPr>
          <w:rFonts w:ascii="Arial"/>
          <w:sz w:val="21"/>
        </w:rPr>
      </w:pPr>
    </w:p>
    <w:p w14:paraId="6873D89C">
      <w:pPr>
        <w:spacing w:line="268" w:lineRule="auto"/>
        <w:rPr>
          <w:rFonts w:ascii="Arial"/>
          <w:sz w:val="21"/>
        </w:rPr>
      </w:pPr>
    </w:p>
    <w:p w14:paraId="40CCDE1A">
      <w:pPr>
        <w:spacing w:before="484" w:line="219" w:lineRule="auto"/>
        <w:ind w:left="205"/>
        <w:rPr>
          <w:rFonts w:ascii="宋体" w:hAnsi="宋体" w:eastAsia="宋体" w:cs="宋体"/>
          <w:sz w:val="149"/>
          <w:szCs w:val="149"/>
        </w:rPr>
      </w:pPr>
      <w:r>
        <w:rPr>
          <w:rFonts w:ascii="宋体" w:hAnsi="宋体" w:eastAsia="宋体" w:cs="宋体"/>
          <w:b/>
          <w:bCs/>
          <w:color w:val="F21800"/>
          <w:spacing w:val="-124"/>
          <w:w w:val="78"/>
          <w:sz w:val="149"/>
          <w:szCs w:val="149"/>
        </w:rPr>
        <w:t>咸阳市水利局文件</w:t>
      </w:r>
    </w:p>
    <w:p w14:paraId="023D2108">
      <w:pPr>
        <w:spacing w:line="329" w:lineRule="auto"/>
        <w:rPr>
          <w:rFonts w:ascii="Arial"/>
          <w:sz w:val="21"/>
        </w:rPr>
      </w:pPr>
    </w:p>
    <w:p w14:paraId="702B598B">
      <w:pPr>
        <w:spacing w:line="330" w:lineRule="auto"/>
        <w:rPr>
          <w:rFonts w:ascii="Arial"/>
          <w:sz w:val="21"/>
        </w:rPr>
      </w:pPr>
    </w:p>
    <w:p w14:paraId="0CB227A3">
      <w:pPr>
        <w:spacing w:before="101" w:line="219" w:lineRule="auto"/>
        <w:ind w:left="26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咸水发〔2019〕545号</w:t>
      </w:r>
    </w:p>
    <w:p w14:paraId="3C93128E">
      <w:pPr>
        <w:spacing w:before="219" w:line="60" w:lineRule="exact"/>
        <w:textAlignment w:val="center"/>
      </w:pPr>
      <w:r>
        <w:drawing>
          <wp:inline distT="0" distB="0" distL="0" distR="0">
            <wp:extent cx="5575300" cy="37465"/>
            <wp:effectExtent l="0" t="0" r="0" b="0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332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CF65">
      <w:pPr>
        <w:spacing w:line="283" w:lineRule="auto"/>
        <w:rPr>
          <w:rFonts w:ascii="Arial"/>
          <w:sz w:val="21"/>
        </w:rPr>
      </w:pPr>
    </w:p>
    <w:p w14:paraId="680E8B43">
      <w:pPr>
        <w:spacing w:before="136" w:line="219" w:lineRule="auto"/>
        <w:ind w:left="2066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12"/>
          <w:sz w:val="42"/>
          <w:szCs w:val="42"/>
        </w:rPr>
        <w:t>关于陕西华电旬邑风电场二期</w:t>
      </w:r>
    </w:p>
    <w:p w14:paraId="5CAFAEF2">
      <w:pPr>
        <w:spacing w:before="97" w:line="218" w:lineRule="auto"/>
        <w:ind w:left="466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9"/>
          <w:sz w:val="42"/>
          <w:szCs w:val="42"/>
        </w:rPr>
        <w:t>50</w:t>
      </w:r>
      <w:r>
        <w:rPr>
          <w:rFonts w:ascii="宋体" w:hAnsi="宋体" w:eastAsia="宋体" w:cs="宋体"/>
          <w:b/>
          <w:bCs/>
          <w:sz w:val="42"/>
          <w:szCs w:val="42"/>
        </w:rPr>
        <w:t>MW</w:t>
      </w:r>
      <w:r>
        <w:rPr>
          <w:rFonts w:ascii="宋体" w:hAnsi="宋体" w:eastAsia="宋体" w:cs="宋体"/>
          <w:spacing w:val="-34"/>
          <w:sz w:val="42"/>
          <w:szCs w:val="42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42"/>
          <w:szCs w:val="42"/>
        </w:rPr>
        <w:t>工程水土保持方案变更报告书的批复</w:t>
      </w:r>
    </w:p>
    <w:p w14:paraId="592D5CAF">
      <w:pPr>
        <w:spacing w:line="431" w:lineRule="auto"/>
        <w:rPr>
          <w:rFonts w:ascii="Arial"/>
          <w:sz w:val="21"/>
        </w:rPr>
      </w:pPr>
    </w:p>
    <w:p w14:paraId="0D7BA761">
      <w:pPr>
        <w:spacing w:before="101" w:line="222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陕西华电旬邑风电有限公司：</w:t>
      </w:r>
    </w:p>
    <w:p w14:paraId="2BD5D3B4">
      <w:pPr>
        <w:spacing w:before="258" w:line="369" w:lineRule="auto"/>
        <w:ind w:left="50" w:firstLine="66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9"/>
          <w:sz w:val="31"/>
          <w:szCs w:val="31"/>
        </w:rPr>
        <w:t>报来的《陕西华电旬邑风电场二期50MW工程水土保持方案变更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报告书》收悉。我局委托咸阳市水土保持工作站对该项目变更报 告进行了技术审查，依据有关水土保持法律法规、规范和专家意</w:t>
      </w:r>
    </w:p>
    <w:p w14:paraId="46C3CAD5">
      <w:pPr>
        <w:spacing w:before="2" w:line="220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见，经研究，基本同意该水土保持变更方案。现批复如下：</w:t>
      </w:r>
    </w:p>
    <w:p w14:paraId="4EEC6D9C">
      <w:pPr>
        <w:spacing w:before="247" w:line="222" w:lineRule="auto"/>
        <w:ind w:left="714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一、原方案批复情况</w:t>
      </w:r>
    </w:p>
    <w:p w14:paraId="24F98195">
      <w:pPr>
        <w:spacing w:before="249" w:line="221" w:lineRule="auto"/>
        <w:ind w:left="7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陕西省水土保持局于2016年12月23日以《</w:t>
      </w:r>
      <w:r>
        <w:rPr>
          <w:rFonts w:ascii="仿宋" w:hAnsi="仿宋" w:eastAsia="仿宋" w:cs="仿宋"/>
          <w:spacing w:val="20"/>
          <w:sz w:val="31"/>
          <w:szCs w:val="31"/>
        </w:rPr>
        <w:t>关于陕西华电</w:t>
      </w:r>
    </w:p>
    <w:p w14:paraId="697E8616">
      <w:pPr>
        <w:spacing w:before="249" w:line="620" w:lineRule="exact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position w:val="23"/>
          <w:sz w:val="31"/>
          <w:szCs w:val="31"/>
        </w:rPr>
        <w:t>旬邑风电场二期50MW</w:t>
      </w:r>
      <w:r>
        <w:rPr>
          <w:rFonts w:ascii="仿宋" w:hAnsi="仿宋" w:eastAsia="仿宋" w:cs="仿宋"/>
          <w:spacing w:val="-66"/>
          <w:position w:val="2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position w:val="23"/>
          <w:sz w:val="31"/>
          <w:szCs w:val="31"/>
        </w:rPr>
        <w:t>工程水土保持方案的批复》(陕水保监函</w:t>
      </w:r>
    </w:p>
    <w:p w14:paraId="0804066F">
      <w:pPr>
        <w:spacing w:before="1" w:line="220" w:lineRule="auto"/>
        <w:ind w:left="2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sz w:val="31"/>
          <w:szCs w:val="31"/>
        </w:rPr>
        <w:t>(2016)</w:t>
      </w:r>
      <w:r>
        <w:rPr>
          <w:rFonts w:ascii="仿宋" w:hAnsi="仿宋" w:eastAsia="仿宋" w:cs="仿宋"/>
          <w:spacing w:val="36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12"/>
          <w:sz w:val="31"/>
          <w:szCs w:val="31"/>
        </w:rPr>
        <w:t>328号)对该项目进行了批复。</w:t>
      </w:r>
    </w:p>
    <w:p w14:paraId="0B5E0545">
      <w:pPr>
        <w:sectPr>
          <w:headerReference r:id="rId5" w:type="default"/>
          <w:footerReference r:id="rId6" w:type="default"/>
          <w:pgSz w:w="11910" w:h="16840"/>
          <w:pgMar w:top="1431" w:right="1512" w:bottom="0" w:left="1569" w:header="0" w:footer="0" w:gutter="0"/>
          <w:cols w:space="720" w:num="1"/>
        </w:sectPr>
      </w:pPr>
    </w:p>
    <w:p w14:paraId="4D1BBB6A">
      <w:pPr>
        <w:spacing w:line="243" w:lineRule="auto"/>
        <w:rPr>
          <w:rFonts w:ascii="Arial"/>
          <w:sz w:val="21"/>
        </w:rPr>
      </w:pPr>
    </w:p>
    <w:p w14:paraId="1FF815CB">
      <w:pPr>
        <w:spacing w:line="243" w:lineRule="auto"/>
        <w:rPr>
          <w:rFonts w:ascii="Arial"/>
          <w:sz w:val="21"/>
        </w:rPr>
      </w:pPr>
    </w:p>
    <w:p w14:paraId="40B675B1">
      <w:pPr>
        <w:spacing w:line="244" w:lineRule="auto"/>
        <w:rPr>
          <w:rFonts w:ascii="Arial"/>
          <w:sz w:val="21"/>
        </w:rPr>
      </w:pPr>
    </w:p>
    <w:p w14:paraId="7810D6F4">
      <w:pPr>
        <w:spacing w:before="101" w:line="223" w:lineRule="auto"/>
        <w:ind w:left="654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3"/>
          <w:sz w:val="31"/>
          <w:szCs w:val="31"/>
        </w:rPr>
        <w:t>二、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1"/>
          <w:szCs w:val="31"/>
        </w:rPr>
        <w:t>变更原因</w:t>
      </w:r>
    </w:p>
    <w:p w14:paraId="3AEF664E">
      <w:pPr>
        <w:spacing w:before="218" w:line="369" w:lineRule="auto"/>
        <w:ind w:firstLine="6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本工程依据2017年12月29</w:t>
      </w:r>
      <w:r>
        <w:rPr>
          <w:rFonts w:ascii="仿宋" w:hAnsi="仿宋" w:eastAsia="仿宋" w:cs="仿宋"/>
          <w:spacing w:val="-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0"/>
          <w:sz w:val="31"/>
          <w:szCs w:val="31"/>
        </w:rPr>
        <w:t>日取得的陕西省发展和改革委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10"/>
          <w:sz w:val="31"/>
          <w:szCs w:val="31"/>
        </w:rPr>
        <w:t>员会《关于陕西华电旬邑风电有限公司旬邑二期风电场工程项目核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4"/>
          <w:sz w:val="31"/>
          <w:szCs w:val="31"/>
        </w:rPr>
        <w:t>准的批复》(陕发改新能源〔2017)</w:t>
      </w:r>
      <w:r>
        <w:rPr>
          <w:rFonts w:ascii="仿宋" w:hAnsi="仿宋" w:eastAsia="仿宋" w:cs="仿宋"/>
          <w:spacing w:val="16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1861号〕文件中确定的项目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建设内容和规模、总投资等内容，在主体工程优化了工程设计，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相应管线、站场位置发生变化或取消，原批复确定防治责任范围、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具有水土保持功能的工程措施、植物措施等内容均发生较大变</w:t>
      </w:r>
    </w:p>
    <w:p w14:paraId="50069A7D">
      <w:pPr>
        <w:spacing w:before="1" w:line="220" w:lineRule="auto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化，建设单位据此对原报告书进行了补充和修改。</w:t>
      </w:r>
    </w:p>
    <w:p w14:paraId="632EC454">
      <w:pPr>
        <w:spacing w:before="297" w:line="222" w:lineRule="auto"/>
        <w:ind w:left="654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4"/>
          <w:sz w:val="31"/>
          <w:szCs w:val="31"/>
        </w:rPr>
        <w:t>三、</w:t>
      </w:r>
      <w:r>
        <w:rPr>
          <w:rFonts w:ascii="仿宋" w:hAnsi="仿宋" w:eastAsia="仿宋" w:cs="仿宋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31"/>
          <w:szCs w:val="31"/>
        </w:rPr>
        <w:t>变更内容</w:t>
      </w:r>
    </w:p>
    <w:p w14:paraId="11C2D25E">
      <w:pPr>
        <w:spacing w:before="228" w:line="619" w:lineRule="exact"/>
        <w:ind w:left="6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position w:val="23"/>
          <w:sz w:val="31"/>
          <w:szCs w:val="31"/>
        </w:rPr>
        <w:t>变更后项目由风机和箱变工程、输电线路工程、道路工程三</w:t>
      </w:r>
    </w:p>
    <w:p w14:paraId="61AAD0CC">
      <w:pPr>
        <w:spacing w:line="220" w:lineRule="auto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部分组成。变更后工程总占地面积9.13</w:t>
      </w:r>
      <w:r>
        <w:rPr>
          <w:rFonts w:ascii="仿宋" w:hAnsi="仿宋" w:eastAsia="仿宋" w:cs="仿宋"/>
          <w:spacing w:val="37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hm</w:t>
      </w:r>
      <w:r>
        <w:rPr>
          <w:rFonts w:ascii="宋体" w:hAnsi="宋体" w:eastAsia="宋体" w:cs="宋体"/>
          <w:spacing w:val="4"/>
          <w:sz w:val="31"/>
          <w:szCs w:val="31"/>
        </w:rPr>
        <w:t>²</w:t>
      </w:r>
      <w:r>
        <w:rPr>
          <w:rFonts w:ascii="宋体" w:hAnsi="宋体" w:eastAsia="宋体" w:cs="宋体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,其中永久性占地</w:t>
      </w:r>
    </w:p>
    <w:p w14:paraId="1B40D8D3">
      <w:pPr>
        <w:spacing w:before="256" w:line="369" w:lineRule="auto"/>
        <w:ind w:right="10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2.72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hm</w:t>
      </w:r>
      <w:r>
        <w:rPr>
          <w:rFonts w:ascii="宋体" w:hAnsi="宋体" w:eastAsia="宋体" w:cs="宋体"/>
          <w:spacing w:val="3"/>
          <w:sz w:val="31"/>
          <w:szCs w:val="31"/>
        </w:rPr>
        <w:t>²</w:t>
      </w:r>
      <w:r>
        <w:rPr>
          <w:rFonts w:ascii="宋体" w:hAnsi="宋体" w:eastAsia="宋体" w:cs="宋体"/>
          <w:spacing w:val="-1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,</w:t>
      </w:r>
      <w:r>
        <w:rPr>
          <w:rFonts w:ascii="仿宋" w:hAnsi="仿宋" w:eastAsia="仿宋" w:cs="仿宋"/>
          <w:spacing w:val="-2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临时占地6.41</w:t>
      </w:r>
      <w:r>
        <w:rPr>
          <w:rFonts w:ascii="仿宋" w:hAnsi="仿宋" w:eastAsia="仿宋" w:cs="仿宋"/>
          <w:spacing w:val="-47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hm</w:t>
      </w:r>
      <w:r>
        <w:rPr>
          <w:rFonts w:ascii="宋体" w:hAnsi="宋体" w:eastAsia="宋体" w:cs="宋体"/>
          <w:spacing w:val="3"/>
          <w:sz w:val="31"/>
          <w:szCs w:val="31"/>
        </w:rPr>
        <w:t>²</w:t>
      </w:r>
      <w:r>
        <w:rPr>
          <w:rFonts w:ascii="宋体" w:hAnsi="宋体" w:eastAsia="宋体" w:cs="宋体"/>
          <w:spacing w:val="-1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,</w:t>
      </w:r>
      <w:r>
        <w:rPr>
          <w:rFonts w:ascii="仿宋" w:hAnsi="仿宋" w:eastAsia="仿宋" w:cs="仿宋"/>
          <w:spacing w:val="-3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水土流失责任范围为9.</w:t>
      </w:r>
      <w:r>
        <w:rPr>
          <w:rFonts w:ascii="仿宋" w:hAnsi="仿宋" w:eastAsia="仿宋" w:cs="仿宋"/>
          <w:spacing w:val="2"/>
          <w:sz w:val="31"/>
          <w:szCs w:val="31"/>
        </w:rPr>
        <w:t>13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hm</w:t>
      </w:r>
      <w:r>
        <w:rPr>
          <w:rFonts w:ascii="宋体" w:hAnsi="宋体" w:eastAsia="宋体" w:cs="宋体"/>
          <w:spacing w:val="2"/>
          <w:sz w:val="31"/>
          <w:szCs w:val="31"/>
        </w:rPr>
        <w:t>²</w:t>
      </w:r>
      <w:r>
        <w:rPr>
          <w:rFonts w:ascii="宋体" w:hAnsi="宋体" w:eastAsia="宋体" w:cs="宋体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水土保持工程总投资320.91万元，其中水</w:t>
      </w:r>
      <w:r>
        <w:rPr>
          <w:rFonts w:ascii="仿宋" w:hAnsi="仿宋" w:eastAsia="仿宋" w:cs="仿宋"/>
          <w:spacing w:val="8"/>
          <w:sz w:val="31"/>
          <w:szCs w:val="31"/>
        </w:rPr>
        <w:t>土保持补偿费为15.52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5"/>
          <w:sz w:val="31"/>
          <w:szCs w:val="31"/>
        </w:rPr>
        <w:t>万元。计划于2019年11</w:t>
      </w:r>
      <w:r>
        <w:rPr>
          <w:rFonts w:ascii="仿宋" w:hAnsi="仿宋" w:eastAsia="仿宋" w:cs="仿宋"/>
          <w:spacing w:val="-7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5"/>
          <w:sz w:val="31"/>
          <w:szCs w:val="31"/>
        </w:rPr>
        <w:t>月开工，2020年10月完工，工期12</w:t>
      </w:r>
    </w:p>
    <w:p w14:paraId="3839B984">
      <w:pPr>
        <w:spacing w:before="1" w:line="223" w:lineRule="auto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个月。</w:t>
      </w:r>
    </w:p>
    <w:p w14:paraId="6DA2119F">
      <w:pPr>
        <w:spacing w:before="236" w:line="382" w:lineRule="auto"/>
        <w:ind w:right="16" w:firstLine="65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8"/>
          <w:sz w:val="31"/>
          <w:szCs w:val="31"/>
        </w:rPr>
        <w:t>四、本变更方案符合工程实际，基本满足水土保持工作要求，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原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则同意。原批复方案与本方案不符的，以本方案为准。请你单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</w:t>
      </w:r>
      <w:r>
        <w:rPr>
          <w:rFonts w:ascii="仿宋" w:hAnsi="仿宋" w:eastAsia="仿宋" w:cs="仿宋"/>
          <w:sz w:val="31"/>
          <w:szCs w:val="31"/>
        </w:rPr>
        <w:t>位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z w:val="31"/>
          <w:szCs w:val="31"/>
        </w:rPr>
        <w:t>严格按照水土保持规范要求建设和管理，采取有效防治措施减</w:t>
      </w:r>
    </w:p>
    <w:p w14:paraId="41005AA6">
      <w:pPr>
        <w:spacing w:line="223" w:lineRule="auto"/>
        <w:ind w:left="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少人为水土流失。</w:t>
      </w:r>
    </w:p>
    <w:p w14:paraId="21ABF955">
      <w:pPr>
        <w:spacing w:before="200" w:line="219" w:lineRule="auto"/>
        <w:ind w:left="654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9"/>
          <w:sz w:val="31"/>
          <w:szCs w:val="31"/>
        </w:rPr>
        <w:t>五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1"/>
          <w:szCs w:val="31"/>
        </w:rPr>
        <w:t>、你单位在接到此批复15个工作日内，将变</w:t>
      </w:r>
      <w:r>
        <w:rPr>
          <w:rFonts w:ascii="仿宋" w:hAnsi="仿宋" w:eastAsia="仿宋" w:cs="仿宋"/>
          <w:b/>
          <w:bCs/>
          <w:spacing w:val="8"/>
          <w:sz w:val="31"/>
          <w:szCs w:val="31"/>
        </w:rPr>
        <w:t>更报告书和</w:t>
      </w:r>
    </w:p>
    <w:p w14:paraId="2AEC3249">
      <w:pPr>
        <w:sectPr>
          <w:pgSz w:w="11910" w:h="16840"/>
          <w:pgMar w:top="1431" w:right="1542" w:bottom="0" w:left="1450" w:header="0" w:footer="0" w:gutter="0"/>
          <w:cols w:space="720" w:num="1"/>
        </w:sectPr>
      </w:pPr>
    </w:p>
    <w:p w14:paraId="6D491A72">
      <w:pPr>
        <w:spacing w:line="310" w:lineRule="auto"/>
        <w:rPr>
          <w:rFonts w:ascii="Arial"/>
          <w:sz w:val="21"/>
        </w:rPr>
      </w:pPr>
      <w:r>
        <w:pict>
          <v:shape id="_x0000_s1026" o:spid="_x0000_s1026" o:spt="202" type="#_x0000_t202" style="position:absolute;left:0pt;margin-left:366.5pt;margin-top:204.5pt;height:48.7pt;width:124.55pt;mso-position-horizontal-relative:page;mso-position-vertical-relative:page;z-index:25165926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E8CCE9">
                  <w:pPr>
                    <w:spacing w:before="20" w:line="222" w:lineRule="auto"/>
                    <w:ind w:left="340"/>
                    <w:rPr>
                      <w:rFonts w:ascii="仿宋" w:hAnsi="仿宋" w:eastAsia="仿宋" w:cs="仿宋"/>
                      <w:sz w:val="31"/>
                      <w:szCs w:val="31"/>
                    </w:rPr>
                  </w:pPr>
                  <w:r>
                    <w:rPr>
                      <w:rFonts w:ascii="仿宋" w:hAnsi="仿宋" w:eastAsia="仿宋" w:cs="仿宋"/>
                      <w:spacing w:val="5"/>
                      <w:sz w:val="31"/>
                      <w:szCs w:val="31"/>
                    </w:rPr>
                    <w:t>咸阳市水利局</w:t>
                  </w:r>
                </w:p>
                <w:p w14:paraId="5A63FCCD">
                  <w:pPr>
                    <w:spacing w:before="187" w:line="222" w:lineRule="auto"/>
                    <w:ind w:left="20"/>
                    <w:rPr>
                      <w:rFonts w:ascii="仿宋" w:hAnsi="仿宋" w:eastAsia="仿宋" w:cs="仿宋"/>
                      <w:sz w:val="31"/>
                      <w:szCs w:val="31"/>
                    </w:rPr>
                  </w:pPr>
                  <w:r>
                    <w:rPr>
                      <w:rFonts w:ascii="仿宋" w:hAnsi="仿宋" w:eastAsia="仿宋" w:cs="仿宋"/>
                      <w:spacing w:val="43"/>
                      <w:sz w:val="31"/>
                      <w:szCs w:val="31"/>
                    </w:rPr>
                    <w:t>2019年12月2日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4546600</wp:posOffset>
            </wp:positionH>
            <wp:positionV relativeFrom="page">
              <wp:posOffset>1924050</wp:posOffset>
            </wp:positionV>
            <wp:extent cx="1543050" cy="15621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48" cy="156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9F8A6">
      <w:pPr>
        <w:spacing w:line="310" w:lineRule="auto"/>
        <w:rPr>
          <w:rFonts w:ascii="Arial"/>
          <w:sz w:val="21"/>
        </w:rPr>
      </w:pPr>
    </w:p>
    <w:p w14:paraId="2F28B177">
      <w:pPr>
        <w:spacing w:before="100" w:line="219" w:lineRule="auto"/>
        <w:ind w:left="1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批复送达所在市县水土保持监督机构。</w:t>
      </w:r>
    </w:p>
    <w:p w14:paraId="21BC192B"/>
    <w:p w14:paraId="43F35CEE"/>
    <w:p w14:paraId="1A16FAEA"/>
    <w:p w14:paraId="177D222E"/>
    <w:p w14:paraId="5DE636C2"/>
    <w:p w14:paraId="74E75A6D"/>
    <w:p w14:paraId="1EEA3910"/>
    <w:p w14:paraId="7E1D503B"/>
    <w:p w14:paraId="22915118"/>
    <w:p w14:paraId="0C37CE41"/>
    <w:p w14:paraId="58EB61BE"/>
    <w:p w14:paraId="3502F455"/>
    <w:p w14:paraId="33430BC0"/>
    <w:p w14:paraId="31520FA6"/>
    <w:p w14:paraId="458CF2F6"/>
    <w:p w14:paraId="398594E9"/>
    <w:p w14:paraId="29C78E88"/>
    <w:p w14:paraId="09B1D65A"/>
    <w:p w14:paraId="67A05415"/>
    <w:p w14:paraId="035ED93A"/>
    <w:p w14:paraId="342C6D27"/>
    <w:p w14:paraId="7AF3F78F"/>
    <w:p w14:paraId="3C93F7B2"/>
    <w:p w14:paraId="2B8C0220"/>
    <w:p w14:paraId="55BDCE67"/>
    <w:p w14:paraId="547BF09A"/>
    <w:p w14:paraId="3AD636FF"/>
    <w:p w14:paraId="7234DC03"/>
    <w:p w14:paraId="3FCB66DB"/>
    <w:p w14:paraId="6C31114F"/>
    <w:p w14:paraId="7E675FBD"/>
    <w:p w14:paraId="57A2B44A"/>
    <w:p w14:paraId="17D0526D"/>
    <w:p w14:paraId="706E16FF"/>
    <w:p w14:paraId="132A99DA"/>
    <w:p w14:paraId="4BE6BB16"/>
    <w:p w14:paraId="71A6896E"/>
    <w:p w14:paraId="760605F6"/>
    <w:p w14:paraId="2BC529A3"/>
    <w:p w14:paraId="16CDE8EB"/>
    <w:p w14:paraId="2C40D331"/>
    <w:p w14:paraId="2C887EAD"/>
    <w:p w14:paraId="1E7851C9"/>
    <w:p w14:paraId="67F6D6A8"/>
    <w:p w14:paraId="2D49E344">
      <w:pPr>
        <w:spacing w:line="116" w:lineRule="exact"/>
      </w:pPr>
    </w:p>
    <w:tbl>
      <w:tblPr>
        <w:tblStyle w:val="6"/>
        <w:tblW w:w="9220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20"/>
      </w:tblGrid>
      <w:tr w14:paraId="42E096B4">
        <w:trPr>
          <w:trHeight w:val="570" w:hRule="atLeast"/>
        </w:trPr>
        <w:tc>
          <w:tcPr>
            <w:tcW w:w="92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33DD792">
            <w:pPr>
              <w:spacing w:before="145" w:line="219" w:lineRule="auto"/>
              <w:ind w:left="6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抄送：币水土保持工作站、旬邑县水土保持监督管理站</w:t>
            </w:r>
          </w:p>
        </w:tc>
      </w:tr>
      <w:tr w14:paraId="04F73F7F">
        <w:trPr>
          <w:trHeight w:val="560" w:hRule="atLeast"/>
        </w:trPr>
        <w:tc>
          <w:tcPr>
            <w:tcW w:w="92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95342B9">
            <w:pPr>
              <w:spacing w:before="137" w:line="219" w:lineRule="auto"/>
              <w:ind w:left="4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咸阳市水利局</w:t>
            </w: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 xml:space="preserve">                           </w:t>
            </w: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2019年12月2日印发</w:t>
            </w:r>
          </w:p>
        </w:tc>
      </w:tr>
    </w:tbl>
    <w:p w14:paraId="3A6C6A9B">
      <w:pPr>
        <w:rPr>
          <w:rFonts w:ascii="Arial"/>
          <w:sz w:val="21"/>
        </w:rPr>
      </w:pPr>
    </w:p>
    <w:sectPr>
      <w:pgSz w:w="11910" w:h="16840"/>
      <w:pgMar w:top="1431" w:right="1180" w:bottom="0" w:left="15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EAA00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E275D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BE16F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2023-07-20T10:38:00Z</dcterms:created>
  <dc:creator>Kingsoft-PDF</dc:creator>
  <cp:lastModifiedBy>EDY</cp:lastModifiedBy>
  <dcterms:modified xsi:type="dcterms:W3CDTF">2026-09-20T09:23:50Z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2023-07-20T10:38:57Z</vt:filetime>
  </property>
  <property fmtid="{D5CDD505-2E9C-101B-9397-08002B2CF9AE}" pid="4" name="UsrData">
    <vt:lpwstr>64b89e3e02013b001f33ecbawl</vt:lpwstr>
  </property>
  <property fmtid="{D5CDD505-2E9C-101B-9397-08002B2CF9AE}" pid="5" name="KSOProductBuildVer">
    <vt:lpwstr>2052-12.8.2.18205</vt:lpwstr>
  </property>
  <property fmtid="{D5CDD505-2E9C-101B-9397-08002B2CF9AE}" pid="6" name="ICV">
    <vt:lpwstr>B60F9F15794E48AD8EE0519A29D91D62_12</vt:lpwstr>
  </property>
</Properties>
</file>