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FB" w:rsidRPr="008201FB" w:rsidRDefault="008201FB" w:rsidP="008201FB">
      <w:pPr>
        <w:widowControl/>
        <w:shd w:val="clear" w:color="auto" w:fill="FFFFFF"/>
        <w:wordWrap w:val="0"/>
        <w:spacing w:line="270" w:lineRule="atLeast"/>
        <w:ind w:firstLine="210"/>
        <w:jc w:val="center"/>
        <w:rPr>
          <w:rFonts w:ascii="Georgia" w:eastAsia="宋体" w:hAnsi="Georgia" w:cs="Arial"/>
          <w:b/>
          <w:bCs/>
          <w:color w:val="000000"/>
          <w:kern w:val="0"/>
          <w:position w:val="30"/>
          <w:sz w:val="32"/>
          <w:szCs w:val="32"/>
        </w:rPr>
      </w:pPr>
      <w:bookmarkStart w:id="0" w:name="_GoBack"/>
      <w:proofErr w:type="spellStart"/>
      <w:r w:rsidRPr="008201FB">
        <w:rPr>
          <w:rFonts w:ascii="Georgia" w:eastAsia="宋体" w:hAnsi="Georgia" w:cs="Arial"/>
          <w:b/>
          <w:bCs/>
          <w:color w:val="000000"/>
          <w:kern w:val="0"/>
          <w:position w:val="30"/>
          <w:sz w:val="32"/>
          <w:szCs w:val="32"/>
        </w:rPr>
        <w:t>doGet</w:t>
      </w:r>
      <w:proofErr w:type="spellEnd"/>
      <w:r w:rsidRPr="008201FB">
        <w:rPr>
          <w:rFonts w:ascii="Georgia" w:eastAsia="宋体" w:hAnsi="Georgia" w:cs="Arial"/>
          <w:b/>
          <w:bCs/>
          <w:color w:val="000000"/>
          <w:kern w:val="0"/>
          <w:position w:val="30"/>
          <w:sz w:val="32"/>
          <w:szCs w:val="32"/>
        </w:rPr>
        <w:t>和</w:t>
      </w:r>
      <w:proofErr w:type="spellStart"/>
      <w:r w:rsidRPr="008201FB">
        <w:rPr>
          <w:rFonts w:ascii="Georgia" w:eastAsia="宋体" w:hAnsi="Georgia" w:cs="Arial"/>
          <w:b/>
          <w:bCs/>
          <w:color w:val="000000"/>
          <w:kern w:val="0"/>
          <w:position w:val="30"/>
          <w:sz w:val="32"/>
          <w:szCs w:val="32"/>
        </w:rPr>
        <w:t>doPost</w:t>
      </w:r>
      <w:proofErr w:type="spellEnd"/>
    </w:p>
    <w:tbl>
      <w:tblPr>
        <w:tblW w:w="1167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0"/>
      </w:tblGrid>
      <w:tr w:rsidR="008201FB" w:rsidRPr="008201FB" w:rsidTr="008201F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bookmarkEnd w:id="0"/>
          <w:p w:rsidR="008201FB" w:rsidRPr="008201FB" w:rsidRDefault="008201FB" w:rsidP="008201FB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</w:pP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首先你要明确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的生命周期和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协议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.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Serlvet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接口只定义了一个服务方法就是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service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，而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proofErr w:type="gram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类实现</w:t>
            </w:r>
            <w:proofErr w:type="gramEnd"/>
            <w:r>
              <w:rPr>
                <w:rFonts w:ascii="Georgia" w:eastAsia="宋体" w:hAnsi="Georgia" w:cs="Arial" w:hint="eastAsia"/>
                <w:color w:val="000000"/>
                <w:kern w:val="0"/>
                <w:sz w:val="18"/>
                <w:szCs w:val="18"/>
              </w:rPr>
              <w:t xml:space="preserve">                                     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了该方法并且要求调用下列的方法之一：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当发出客户端请求的时候，调用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service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方法并传递一个请求和响应对象。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首先判断该请求是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GET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操作还是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POST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操作。然后它调用下面的一个方法：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或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。如果请求是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就调用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方法，如果请求是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就调用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都接受请求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和响应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HttpServletResponse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</w:p>
          <w:p w:rsidR="008201FB" w:rsidRPr="008201FB" w:rsidRDefault="008201FB" w:rsidP="008201FB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</w:pP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这是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协议的两种方法，另外还有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head, delete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等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这两种方法有本质的区别，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只有一个流，参数附加在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后，大小个数有严格限制且只能是字符串。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的参数是通过另外的流传递的，不通过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，所以可以很大，也可以传递二进制数据，如文件的上传。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开发中，以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分别处理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另外还有一个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doService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它是一个调度方法，当一个请求发生时，首先执行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doService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(),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不管是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还是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proofErr w:type="gram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这个基</w:t>
            </w:r>
            <w:proofErr w:type="gram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类中实现了一个角度，首先判断是请求时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还是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post,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如果是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就调用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如果是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就调用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。你也可以直接过载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doService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方法，这样你可以不管是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还是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。都会执行这个方法。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service()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是在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接口中定义的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javax.servlet.GenericServlet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中实现了这个接口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则是在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中实现的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javax.servlet.GenericServlet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的子类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.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所有可以这样理解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其实所有的请求</w:t>
            </w:r>
            <w:proofErr w:type="gram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均首先</w:t>
            </w:r>
            <w:proofErr w:type="gram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由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进行处理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而在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方法中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主要做的事情就是判断请求类型是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Get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还是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Post,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然后调用对应的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执行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.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doPut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PUT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doDelete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DELETE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doHead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HEAD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doOptions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OPTIONS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doTrace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：处理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TRACE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通常情况下，在开发基于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时，开发者只需要关心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方法，其它的方法需要开发者非常的熟悉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编程，因此这些方法被认为是高级方法。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而通常情况下，我们实现的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都是从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扩展而来。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doPut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doDelete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方法允许开发者支持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HTTP/1.1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的对应特性；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doHead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是一个已经实现的方法，它将执行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但是仅仅向客户端返回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应该向客户端返回的头部的内容；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doOptions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方法自动的返回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所直接支持的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方法信息；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doTrace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方法返回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TRACE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请求中的所有头部信息。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对于那些仅仅支持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HTTP/1.0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的容器而言，只有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doHead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方法被使用，因为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HTTP/1</w:t>
            </w:r>
          </w:p>
          <w:p w:rsidR="008201FB" w:rsidRPr="008201FB" w:rsidRDefault="008201FB" w:rsidP="008201FB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</w:pP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service()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是在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接口中定义的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javax.servlet.GenericServlet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中实现了这个接口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则是在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中实现的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javax.servlet.GenericServlet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的子类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.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所有可以这样理解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其实所有的请求</w:t>
            </w:r>
            <w:proofErr w:type="gram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均首先</w:t>
            </w:r>
            <w:proofErr w:type="gram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由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进行处理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而在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方法中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主要做的事情就是判断请求类型是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Get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还是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Post,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然后调用对应的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执行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在地址栏中显示请求的内容，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隐藏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.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其时说来很简单，在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中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方法里还是调用了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方法，所以在创建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时可以不要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方法，但在做大型项目涉及密码的传送时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方法会更安全些，通常情况下二者没什么区别。</w:t>
            </w:r>
          </w:p>
          <w:p w:rsidR="008201FB" w:rsidRPr="008201FB" w:rsidRDefault="008201FB" w:rsidP="008201FB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继一下</w:t>
            </w:r>
            <w:proofErr w:type="gram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:</w:t>
            </w:r>
          </w:p>
          <w:p w:rsidR="008201FB" w:rsidRPr="008201FB" w:rsidRDefault="008201FB" w:rsidP="008201FB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</w:pP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下面主要介绍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提供的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 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应用编程接口。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HTTP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使用一个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HTML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表格来发送和接收数据。要创建一个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HTTP 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，请扩展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类，该类是用专门的方法来处理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HTML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表格的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GenericServlet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的一个子类。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HTML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表单是由和标记定义的。表单中典型地包含输入字段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如文本输入字段、复选框、单选按钮和选择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lastRenderedPageBreak/>
              <w:t>列表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和用于提交数据的按钮。当提交信息时，它们还指定服务器应执行哪一个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Servlet(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或其它的程序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类包含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destroy()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等方法。其中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方法是继承的。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(1)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的生命期中，仅执行一次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方法。它是在服务器装入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时执行的。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可以配置服务器，以在启动服务器或客户机首次访问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时装入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无论有多少客户机访问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，都不会重复执行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缺省的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方法通常是符合要求的，但也可以用定制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方法来覆盖它，典型的是管理服务器端资源。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例如，可能编写一个定制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来只用于一次装入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GIF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图像，改进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返回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GIF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图像和含有多个客户机请求的性能。另一个示例是初始化数据库连接。缺省的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方法设置了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的初始化参数，并用它的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ServletConfig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对象参数来启动配置，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因此所有覆盖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应调用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super.init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以确保仍然执行这些任务。在调用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方法之前，应确保已完成了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(2)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ervice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方法是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的核心。每当一个客户请求一个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对象，该对象的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方法就要被调用，而且传递给这个方法一个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"(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ServletRequest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对象和一个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响应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"(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ServletResponse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对象作为参数。在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中已存在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方法。缺省的服务功能是调用与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HTTP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请求的方法相应的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do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功能。例如，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如果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HTTP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请求方法为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，则缺省情况下就调用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应该为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支持的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HTTP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方法覆盖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do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功能。因为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HttpServlet.service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方法会检查请求方法是否调用了适当的处理方法，不必要覆盖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方法。只需覆盖相应的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do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方法就可以了。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当一个客户通过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HTML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表单发出一个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 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请求时，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方法被调用。与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POST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请求相关的参数作为一个单独的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HTTP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请求从浏览器发送到服务器。当需要修改服务器端的数据时，应该使用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当一个客户通过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HTML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表单发出一个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 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请求或直接请求一个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URL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时，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方法被调用。与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请求相关的参数添加到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URL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的后面，并与这个请求一起发送。当不会修改服务器端的数据时，应该使用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的响应可以是下列几种类型：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一个输出流，浏览器根据它的内容类型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text/HTML)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进行解释。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错误响应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,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重定向到另一个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URL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JSP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(3) 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方法仅执行一次，即在服务器停止且卸装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时执行该方法。典型的，将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作为服务器进程的一部分来关闭。缺省的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方法通常是符合要求的，但也可以覆盖它，典型的是管理服务器端资源。例如，如果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在运行时会累计统计数据，则可以编写一个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方法，该方法用于在未装入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时将统计数字保存在文件中。另一个示例是关闭数据库连接。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当服务器卸装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时，将在所有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方法调用完成后，或在指定的时间间隔过后调用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方法。一个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在运行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service()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方法时可能会产生其它的线程，因此请确认在调用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destroy()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方法时，这些线程已终止或完成。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(4)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GetServletConfig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lastRenderedPageBreak/>
              <w:t>GetServletConfig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方法返回一个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ServletConfig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对象，该对象用来返回初始化参数和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ServletContext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ServletContext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接口提供有关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的环境信息。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(5)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GetServletInfo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GetServletInfo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方法是一个可选的方法，它提供有关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的信息，如作者、版本、版权。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当服务器调用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的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Service()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8201FB">
              <w:rPr>
                <w:rFonts w:ascii="Georgia" w:eastAsia="宋体" w:hAnsi="Georgia" w:cs="Arial"/>
                <w:b/>
                <w:bCs/>
                <w:color w:val="000000"/>
                <w:kern w:val="0"/>
                <w:sz w:val="18"/>
                <w:szCs w:val="18"/>
                <w:shd w:val="clear" w:color="auto" w:fill="FFFF66"/>
              </w:rPr>
              <w:t>doGet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()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这三个方法时，均需要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响应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对象作为参数。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对象提供有关请求的信息，而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响应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对象提供了一个将响应信息返回给浏览器的一个通信途径。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软件包中的相关类为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ServletResponse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ServletRequest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，而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javax.servlet.http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软件包中的相关类为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和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HttpServletResponse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通过这些对象与服务器通信并最终与客户机通信。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能通过调用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请求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对象的方法获知客户机环境，服务器环境的信息和所有由客户机提供的信息。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 xml:space="preserve">Servlet 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可以调用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响应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"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对象的方法发送响应，该响应是准备发回客户机的。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&lt;!-- Standard Action Servlet Configuration (with debugging) --&gt;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&lt;servlet&gt;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&lt;servlet-name&gt;log4j-init&lt;/servlet-name&gt;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&lt;servlet-class&gt;com.neusoft.ehr.common.Log4jInit&lt;/servlet-class&gt;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init-param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param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-name&gt;log4j-init-file&lt;/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param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-name&gt;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&lt;param-value&gt;/WEB-INF/classes/property/log4j.properties&lt;/param-value&gt;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init-param</w:t>
            </w:r>
            <w:proofErr w:type="spellEnd"/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t>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&lt;load-on-startup&gt;1&lt;/load-on-startup&gt; </w:t>
            </w:r>
            <w:r w:rsidRPr="008201FB">
              <w:rPr>
                <w:rFonts w:ascii="Georgia" w:eastAsia="宋体" w:hAnsi="Georgia" w:cs="Arial"/>
                <w:color w:val="000000"/>
                <w:kern w:val="0"/>
                <w:sz w:val="18"/>
                <w:szCs w:val="18"/>
              </w:rPr>
              <w:br/>
              <w:t>&lt;/servlet&gt;</w:t>
            </w:r>
          </w:p>
        </w:tc>
      </w:tr>
    </w:tbl>
    <w:p w:rsidR="00200F68" w:rsidRDefault="00200F68"/>
    <w:sectPr w:rsidR="0020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8A7"/>
    <w:multiLevelType w:val="multilevel"/>
    <w:tmpl w:val="3390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2D"/>
    <w:rsid w:val="00200F68"/>
    <w:rsid w:val="008201FB"/>
    <w:rsid w:val="00A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1FB"/>
    <w:rPr>
      <w:color w:val="0000FF"/>
      <w:u w:val="single"/>
    </w:rPr>
  </w:style>
  <w:style w:type="character" w:customStyle="1" w:styleId="modtit">
    <w:name w:val="modtit"/>
    <w:basedOn w:val="a0"/>
    <w:rsid w:val="008201FB"/>
  </w:style>
  <w:style w:type="paragraph" w:styleId="a4">
    <w:name w:val="Normal (Web)"/>
    <w:basedOn w:val="a"/>
    <w:uiPriority w:val="99"/>
    <w:unhideWhenUsed/>
    <w:rsid w:val="00820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01FB"/>
  </w:style>
  <w:style w:type="character" w:styleId="a5">
    <w:name w:val="Strong"/>
    <w:basedOn w:val="a0"/>
    <w:uiPriority w:val="22"/>
    <w:qFormat/>
    <w:rsid w:val="008201FB"/>
    <w:rPr>
      <w:b/>
      <w:bCs/>
    </w:rPr>
  </w:style>
  <w:style w:type="character" w:customStyle="1" w:styleId="x-blog-opt-sp">
    <w:name w:val="x-blog-opt-sp"/>
    <w:basedOn w:val="a0"/>
    <w:rsid w:val="008201F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201F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201F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201F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201FB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8201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0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1FB"/>
    <w:rPr>
      <w:color w:val="0000FF"/>
      <w:u w:val="single"/>
    </w:rPr>
  </w:style>
  <w:style w:type="character" w:customStyle="1" w:styleId="modtit">
    <w:name w:val="modtit"/>
    <w:basedOn w:val="a0"/>
    <w:rsid w:val="008201FB"/>
  </w:style>
  <w:style w:type="paragraph" w:styleId="a4">
    <w:name w:val="Normal (Web)"/>
    <w:basedOn w:val="a"/>
    <w:uiPriority w:val="99"/>
    <w:unhideWhenUsed/>
    <w:rsid w:val="00820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01FB"/>
  </w:style>
  <w:style w:type="character" w:styleId="a5">
    <w:name w:val="Strong"/>
    <w:basedOn w:val="a0"/>
    <w:uiPriority w:val="22"/>
    <w:qFormat/>
    <w:rsid w:val="008201FB"/>
    <w:rPr>
      <w:b/>
      <w:bCs/>
    </w:rPr>
  </w:style>
  <w:style w:type="character" w:customStyle="1" w:styleId="x-blog-opt-sp">
    <w:name w:val="x-blog-opt-sp"/>
    <w:basedOn w:val="a0"/>
    <w:rsid w:val="008201F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201F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201F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201F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201FB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8201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0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406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BBBBBB"/>
                    <w:bottom w:val="none" w:sz="0" w:space="0" w:color="auto"/>
                    <w:right w:val="single" w:sz="6" w:space="8" w:color="BBBBBB"/>
                  </w:divBdr>
                  <w:divsChild>
                    <w:div w:id="221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1795">
                      <w:marLeft w:val="0"/>
                      <w:marRight w:val="0"/>
                      <w:marTop w:val="7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74123">
                      <w:marLeft w:val="0"/>
                      <w:marRight w:val="0"/>
                      <w:marTop w:val="255"/>
                      <w:marBottom w:val="0"/>
                      <w:divBdr>
                        <w:top w:val="dotted" w:sz="6" w:space="0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98389">
                      <w:marLeft w:val="0"/>
                      <w:marRight w:val="0"/>
                      <w:marTop w:val="255"/>
                      <w:marBottom w:val="0"/>
                      <w:divBdr>
                        <w:top w:val="dotted" w:sz="6" w:space="0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38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96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1766">
                                      <w:marLeft w:val="0"/>
                                      <w:marRight w:val="3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98496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09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732</Words>
  <Characters>4175</Characters>
  <Application>Microsoft Office Word</Application>
  <DocSecurity>0</DocSecurity>
  <Lines>34</Lines>
  <Paragraphs>9</Paragraphs>
  <ScaleCrop>false</ScaleCrop>
  <Company>Microsoft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2012-06-30T12:02:00Z</dcterms:created>
  <dcterms:modified xsi:type="dcterms:W3CDTF">2012-06-30T12:11:00Z</dcterms:modified>
</cp:coreProperties>
</file>