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科技故事视频运营与制作复盘手册</w:t>
      </w:r>
    </w:p>
    <w:p>
      <w:pPr>
        <w:pStyle w:val="Subtitle"/>
      </w:pPr>
      <w:r>
        <w:t>公开学习版  2026年10月13日</w:t>
      </w:r>
    </w:p>
    <w:p>
      <w:r>
        <w:t>先把数据口径、成片质量和发布状态核准，再判断内容该怎样改。本手册供编导、剪辑、审片和发布人员学习与复用，涵盖运营验证、制作验收、素材核查和单片复盘。</w:t>
      </w:r>
    </w:p>
    <w:p>
      <w:r>
        <w:t>文中的编辑方法和检查流程属于建议；官方资料在对应段落列明。空白模板应在非公开工作记录中填写，公开分享前再核对数据与素材的可公开范围。</w:t>
      </w:r>
    </w:p>
    <w:p>
      <w:pPr>
        <w:pStyle w:val="Heading2"/>
      </w:pPr>
      <w:r>
        <w:t>01 先分清单日与累计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776"/>
      </w:tblGrid>
      <w:tr>
        <w:trPr>
          <w:cantSplit/>
          <w:tblHeader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E8EFF4"/>
          </w:tcPr>
          <w:p>
            <w:pPr>
              <w:spacing w:line="284" w:lineRule="exact" w:after="20" w:before="20"/>
            </w:pPr>
            <w:r>
              <w:rPr>
                <w:b/>
                <w:sz w:val="21"/>
              </w:rPr>
              <w:t>记录口径</w:t>
            </w:r>
          </w:p>
        </w:tc>
        <w:tc>
          <w:tcPr>
            <w:tcW w:type="dxa" w:w="77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E8EFF4"/>
          </w:tcPr>
          <w:p>
            <w:pPr>
              <w:spacing w:line="284" w:lineRule="exact" w:after="20" w:before="20"/>
            </w:pPr>
            <w:r>
              <w:rPr>
                <w:b/>
                <w:sz w:val="21"/>
              </w:rPr>
              <w:t>应同时记下什么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84" w:lineRule="exact" w:after="20" w:before="20"/>
            </w:pPr>
            <w:r>
              <w:rPr>
                <w:b w:val="0"/>
                <w:sz w:val="21"/>
              </w:rPr>
              <w:t>自然日新增</w:t>
            </w:r>
          </w:p>
        </w:tc>
        <w:tc>
          <w:tcPr>
            <w:tcW w:type="dxa" w:w="77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84" w:lineRule="exact" w:after="20" w:before="20"/>
            </w:pPr>
            <w:r>
              <w:rPr>
                <w:b w:val="0"/>
                <w:sz w:val="21"/>
              </w:rPr>
              <w:t>日期、时区、字段原名、采集时刻和更新状态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84" w:lineRule="exact" w:after="20" w:before="20"/>
            </w:pPr>
            <w:r>
              <w:rPr>
                <w:b w:val="0"/>
                <w:sz w:val="21"/>
              </w:rPr>
              <w:t>截至采集时刻累计</w:t>
            </w:r>
          </w:p>
        </w:tc>
        <w:tc>
          <w:tcPr>
            <w:tcW w:type="dxa" w:w="77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84" w:lineRule="exact" w:after="20" w:before="20"/>
            </w:pPr>
            <w:r>
              <w:rPr>
                <w:b w:val="0"/>
                <w:sz w:val="21"/>
              </w:rPr>
              <w:t>实际公开时间、采集时刻、发布龄和片长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84" w:lineRule="exact" w:after="20" w:before="20"/>
            </w:pPr>
            <w:r>
              <w:rPr>
                <w:b w:val="0"/>
                <w:sz w:val="21"/>
              </w:rPr>
              <w:t>比例指标</w:t>
            </w:r>
          </w:p>
        </w:tc>
        <w:tc>
          <w:tcPr>
            <w:tcW w:type="dxa" w:w="77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84" w:lineRule="exact" w:after="20" w:before="20"/>
            </w:pPr>
            <w:r>
              <w:rPr>
                <w:b w:val="0"/>
                <w:sz w:val="21"/>
              </w:rPr>
              <w:t>指标定义、适用时间范围，以及平台可提供的分母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84" w:lineRule="exact" w:after="20" w:before="20"/>
            </w:pPr>
            <w:r>
              <w:rPr>
                <w:b w:val="0"/>
                <w:sz w:val="21"/>
              </w:rPr>
              <w:t>流量来源</w:t>
            </w:r>
          </w:p>
        </w:tc>
        <w:tc>
          <w:tcPr>
            <w:tcW w:type="dxa" w:w="77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84" w:lineRule="exact" w:after="20" w:before="20"/>
            </w:pPr>
            <w:r>
              <w:rPr>
                <w:b w:val="0"/>
                <w:sz w:val="21"/>
              </w:rPr>
              <w:t>来源类别、占比、采集时刻，以及自然或付费范围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84" w:lineRule="exact" w:after="20" w:before="20"/>
            </w:pPr>
            <w:r>
              <w:rPr>
                <w:b w:val="0"/>
                <w:sz w:val="21"/>
              </w:rPr>
              <w:t>导出与界面有冲突</w:t>
            </w:r>
          </w:p>
        </w:tc>
        <w:tc>
          <w:tcPr>
            <w:tcW w:type="dxa" w:w="77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84" w:lineRule="exact" w:after="20" w:before="20"/>
            </w:pPr>
            <w:r>
              <w:rPr>
                <w:b w:val="0"/>
                <w:sz w:val="21"/>
              </w:rPr>
              <w:t>界面选择、表名、字段名、冲突描述和待核事项</w:t>
            </w:r>
          </w:p>
        </w:tc>
      </w:tr>
    </w:tbl>
    <w:p>
      <w:pPr>
        <w:pStyle w:val="Heading2"/>
      </w:pPr>
      <w:r>
        <w:t>核准字段后再比较</w:t>
      </w:r>
    </w:p>
    <w:p>
      <w:r>
        <w:t>累计总量不能写成“昨天播放”。不同时刻或不同口径的累计值，不能直接相减当作某个自然日新增。即使界面已选“每天”，导出表名与字段范围仍有冲突时，也应保留原标签，先核实再下结论。</w:t>
      </w:r>
    </w:p>
    <w:p>
      <w:r>
        <w:t>片长、发布时间或时区出现差异时，保存各自显示值与来源；未核实前不擅自统一。平台提示一个更新时间，不一定等于展示了精确结算时刻。单条作品状态也不能替代对账号级状态的核验。</w:t>
      </w:r>
    </w:p>
    <w:p>
      <w:r>
        <w:t>总播放次数不等于独立观众数。缺少曝光、来源、互动或作品归因关注等字段时，填写“未提供”；不要用账号净增粉冒充单条转化，不从曲线像素猜造精确指标。</w:t>
      </w:r>
    </w:p>
    <w:p>
      <w:r>
        <w:br w:type="page"/>
      </w:r>
    </w:p>
    <w:p>
      <w:pPr>
        <w:pStyle w:val="Heading1"/>
      </w:pPr>
      <w:r>
        <w:t>02 把运营改法写成可验证的假设</w:t>
      </w:r>
    </w:p>
    <w:p>
      <w:r>
        <w:t>以下是可逐项尝试的编辑实验，不是已经验证的增长公式。时长和采样点只是执行约定，不是平台公布的推荐门槛。</w:t>
      </w:r>
    </w:p>
    <w:p>
      <w:pPr>
        <w:pStyle w:val="Heading2"/>
      </w:pPr>
      <w:r>
        <w:t>假设一  前5秒直接提出具体问题</w:t>
      </w:r>
    </w:p>
    <w:p>
      <w:r>
        <w:t>开场交代谁、遇到什么难题、观众为什么要看下去。先减少泛背景和系列介绍，保留必要的事实限定。观察平台提供的2秒跳出、5秒完播及开头留存；同时记录标题和封面是否变更。</w:t>
      </w:r>
    </w:p>
    <w:p>
      <w:pPr>
        <w:pStyle w:val="Heading2"/>
      </w:pPr>
      <w:r>
        <w:t>假设二  前15秒先给结果或关键变化</w:t>
      </w:r>
    </w:p>
    <w:p>
      <w:r>
        <w:t>在不剧透失真、不制造悬念欠账的前提下，尽早交代可核实的结果，再讲因果过程。核查前15秒是否已经给观众一个答案；平台没有精确15秒指标时，不从曲线像素猜数。</w:t>
      </w:r>
    </w:p>
    <w:p>
      <w:pPr>
        <w:pStyle w:val="Heading2"/>
      </w:pPr>
      <w:r>
        <w:t>假设三  删掉重复结论和空转镜头</w:t>
      </w:r>
    </w:p>
    <w:p>
      <w:r>
        <w:t>一句话若既未增加事实，也未推进因果关系，先标为可删项。先在真实口播和粗剪中验证，再改定稿；不要为缩短时长牺牲年份、限制条件或必要署名。同时比较平均观看秒数、观看占比和完播率。</w:t>
      </w:r>
    </w:p>
    <w:p>
      <w:pPr>
        <w:pStyle w:val="Heading2"/>
      </w:pPr>
      <w:r>
        <w:t>怎样建立可比较的记录</w:t>
      </w:r>
    </w:p>
    <w:p>
      <w:pPr>
        <w:ind w:left="173" w:hanging="173"/>
      </w:pPr>
      <w:r>
        <w:t>• 一次只突出一个主要改动，尽量保持题材、片长区间、叙事难度、发布时段及分发方式相近。不同作品之间通常只能近似比较，不能自动视为对照实验。</w:t>
      </w:r>
    </w:p>
    <w:p>
      <w:pPr>
        <w:ind w:left="173" w:hanging="173"/>
      </w:pPr>
      <w:r>
        <w:t>• 从真实公开时刻起，可约定在发布龄6、24、72小时记录。保存实际采集时刻和延误；已错过的历史采样点填“未采”，不补造、不回推。</w:t>
      </w:r>
    </w:p>
    <w:p>
      <w:pPr>
        <w:ind w:left="173" w:hanging="173"/>
      </w:pPr>
      <w:r>
        <w:t>• 先记录平台、自然日或累计、发布龄、样本播放量、片长及来源分布，再填比例。样本很小或来源不齐时保留不确定性。</w:t>
      </w:r>
    </w:p>
    <w:p>
      <w:pPr>
        <w:ind w:left="173" w:hanging="173"/>
      </w:pPr>
      <w:r>
        <w:t>• 遇到来源变化、投放、标题封面调整或平台状态变化，单独备注。同来源、相近发布龄的后续样本才更有比较价值。</w:t>
      </w:r>
    </w:p>
    <w:p>
      <w:pPr>
        <w:ind w:left="173" w:hanging="173"/>
      </w:pPr>
      <w:r>
        <w:t>• 预先写清主要指标、观察窗和复盘时间。到时决定保留、撤回或继续验证，不只挑好看的指标，也不把相关变化写成因果证明。</w:t>
      </w:r>
    </w:p>
    <w:p>
      <w:r>
        <w:t>某条完播率较高、跳出较低，只能提供检查方向。片长、题材、发布龄和搜索／推荐人群都可能影响差异；不能据此承诺“缩短就会提高完播”或“某种开场一定有效”。</w:t>
      </w:r>
    </w:p>
    <w:p>
      <w:r>
        <w:br w:type="page"/>
      </w:r>
    </w:p>
    <w:p>
      <w:pPr>
        <w:pStyle w:val="Heading1"/>
      </w:pPr>
      <w:r>
        <w:t>03 音源和时轴的技术检查</w:t>
      </w:r>
    </w:p>
    <w:p>
      <w:pPr>
        <w:pStyle w:val="Heading2"/>
      </w:pPr>
      <w:r>
        <w:t>音轨复制一致仍需追溯最早原源</w:t>
      </w:r>
    </w:p>
    <w:p>
      <w:r>
        <w:t>当前成片与当前母带一致，只能说明这一段复制链路一致。若更早环节已经损伤音频精度，转成浮点文件不会恢复丢失信息。“final”“locked”等文件名也不能代替来源核验。</w:t>
      </w:r>
    </w:p>
    <w:p>
      <w:pPr>
        <w:ind w:left="173" w:hanging="173"/>
      </w:pPr>
      <w:r>
        <w:t>• 保留最早口播原源、每段文件指纹、采样率、声道，以及裁切和增益记录。整轨比较覆盖全长，并核对较长文件的尾部，不能只比较公共长度。</w:t>
      </w:r>
    </w:p>
    <w:p>
      <w:pPr>
        <w:ind w:left="173" w:hanging="173"/>
      </w:pPr>
      <w:r>
        <w:t>• 中间处理明确采用float32或经核定的s16／s24，不让工具默认位宽或隐式u8转换造成意外降精度。记录全轨重采样；双单声道用显式复制并核查电平变化。</w:t>
      </w:r>
    </w:p>
    <w:p>
      <w:pPr>
        <w:ind w:left="173" w:hanging="173"/>
      </w:pPr>
      <w:r>
        <w:t>• 锁定真实PCM编码输入，尽量在最终阶段只做一次AAC编码。后续适合流复制时保留音轨；只修音频且视频无需变化时保留视频码流。避免MP3有损中间层及无依据的重复AAC转码。</w:t>
      </w:r>
    </w:p>
    <w:p>
      <w:pPr>
        <w:ind w:left="173" w:hanging="173"/>
      </w:pPr>
      <w:r>
        <w:t>• 同时查整轨样本数、AAC数据完整性、末包PTS加时长，以及容器音轨时长和编辑列表。未经尾部验证，不用-shortest掩盖时长差异；解码中存在尾样本，也要核查播放时是否呈现。</w:t>
      </w:r>
    </w:p>
    <w:p>
      <w:pPr>
        <w:pStyle w:val="Heading2"/>
      </w:pPr>
      <w:r>
        <w:t>拼接时长异常先找证据再改参数</w:t>
      </w:r>
    </w:p>
    <w:p>
      <w:r>
        <w:t>先用小比例全帧诊断复现，再输出全分辨率。一个参数改动若不能在相同输入上复现差异，就不能记为已证根因；不能直接截掉尾帧来掩盖中间时轴问题。</w:t>
      </w:r>
    </w:p>
    <w:p>
      <w:pPr>
        <w:ind w:left="173" w:hanging="173"/>
      </w:pPr>
      <w:r>
        <w:t>• 记录实际运行脚本、软件版本、输入指纹、逐段帧数、PTS、timebase及dup／drop日志。逐段定位差异，而不只看最终总秒数。</w:t>
      </w:r>
    </w:p>
    <w:p>
      <w:pPr>
        <w:ind w:left="173" w:hanging="173"/>
      </w:pPr>
      <w:r>
        <w:t>• 区分源窗准入帧与最终贡献帧。trim范围内的帧可能在后续帧率转换中被丢弃；需核对最终编码帧，而不只核对裁切参数。</w:t>
      </w:r>
    </w:p>
    <w:p>
      <w:pPr>
        <w:pStyle w:val="Heading2"/>
      </w:pPr>
      <w:r>
        <w:t>把技术检查和听审分开记录</w:t>
      </w:r>
    </w:p>
    <w:p>
      <w:r>
        <w:t>技术筛查、音源链、字幕语义完整、画面、事实、素材权利、完整实际听审、实体手机播放和平台转码分别写通过／失败／未检查。波形相关、ASR相符和全片解码通过都不能替代实际听审；没有实际听过，就填写“未检查”。</w:t>
      </w:r>
    </w:p>
    <w:p>
      <w:pPr>
        <w:spacing w:after="80"/>
      </w:pPr>
      <w:r>
        <w:rPr>
          <w:sz w:val="18"/>
        </w:rPr>
        <w:t>官方依据：FFmpeg concat demuxer要求各文件具有相同的流、编码和timebase等；错误的分段时长会影响后续时间戳。该条件针对这一拼接方式，不是适用于所有滤镜的参数配方。查阅2026年10月13日。</w:t>
      </w:r>
    </w:p>
    <w:p>
      <w:pPr>
        <w:spacing w:after="80"/>
      </w:pPr>
      <w:hyperlink r:id="rId11">
        <w:r>
          <w:rPr>
            <w:sz w:val="18"/>
            <w:color w:val="204F7A"/>
          </w:rPr>
          <w:t>https://ffmpeg.org/ffmpeg-formats.html#concat</w:t>
        </w:r>
      </w:hyperlink>
    </w:p>
    <w:p>
      <w:r>
        <w:br w:type="page"/>
      </w:r>
    </w:p>
    <w:p>
      <w:pPr>
        <w:pStyle w:val="Heading2"/>
      </w:pPr>
      <w:r>
        <w:t>增益前先拦截坏源</w:t>
      </w:r>
    </w:p>
    <w:p>
      <w:r>
        <w:t>脱敏复盘：一段最早留存的口播源文件已包含约5秒近静止谐波嗡声，后续却被当作弱句提高音量。原源按记录处理后与母带逐样本一致，成片也可完整解码，但这些检查没有拦住源内容缺陷。已证实的是坏声在留存源中已存在；缺少更早生成文件和日志时，不能断言是模型生成或哪次转码首先引入。</w:t>
      </w:r>
    </w:p>
    <w:p>
      <w:pPr>
        <w:ind w:left="173" w:hanging="173"/>
      </w:pPr>
      <w:r>
        <w:t>• 每条最早原源从头到尾核验，再进入增益和混音。遇到音量异常低、持续稳定音调或字幕有句子而音频缺少语音变化时，暂停“弱句补响”，对照原源、母带、成片的同一时间窗并匹配回放响度。</w:t>
      </w:r>
    </w:p>
    <w:p>
      <w:pPr>
        <w:ind w:left="173" w:hanging="173"/>
      </w:pPr>
      <w:r>
        <w:t>• 把持续窄带、谐波平台、异常静音、突变和重复片段列为技术候选，再逐项核听与核对句义。150／200Hz固定特征只针对已知故障；未命中不能写成“无噪音”，也不能保证发现其他频率或其他类型的坏声。记录检测范围、阈值、时间窗和漏检边界。</w:t>
      </w:r>
    </w:p>
    <w:p>
      <w:pPr>
        <w:ind w:left="173" w:hanging="173"/>
      </w:pPr>
      <w:r>
        <w:t>• 增益前预测峰值并记录处理量。大幅增益或动态压限应专门复核，不能靠自动limiter追平均响度。无满幅削波、频谱正常或ASR文字相符，均不能单独证明听感合格。</w:t>
      </w:r>
    </w:p>
    <w:p>
      <w:pPr>
        <w:ind w:left="173" w:hanging="173"/>
      </w:pPr>
      <w:r>
        <w:t>• 对照实际口播逐句核字幕语义，尤其检查嗡声、静音、拼接和尾部是否替代了应有的话。保留稿只能说明计划内容，不能证明声音已经说出；完整听审须从最终文件开头到结尾实际回放，包含每个源段、接缝和收尾。</w:t>
      </w:r>
    </w:p>
    <w:p>
      <w:r>
        <w:t>发现异常先保留证据并阻断受影响交付，不盲目批量降噪、删除或重生成。已发布或已排期作品先做只读核查；替换、重传、下架或更改排期须取得对应授权。修复产生新文件后，原审核结论不能自动继承。</w:t>
      </w:r>
    </w:p>
    <w:p>
      <w:r>
        <w:br w:type="page"/>
      </w:r>
    </w:p>
    <w:p>
      <w:pPr>
        <w:pStyle w:val="Heading1"/>
      </w:pPr>
      <w:r>
        <w:t>04 画面和素材权利要在成片上核</w:t>
      </w:r>
    </w:p>
    <w:p>
      <w:pPr>
        <w:pStyle w:val="Heading2"/>
      </w:pPr>
      <w:r>
        <w:t>字幕和署名必须看实际编码后的像素</w:t>
      </w:r>
    </w:p>
    <w:p>
      <w:r>
        <w:t>脚本坐标、模型给出的文字边界和字数估算适合预检，最终仍要看真实编码帧。正文、日期与credit合理分区，检查是否遮住人物面部、手部动作或关键正文。</w:t>
      </w:r>
    </w:p>
    <w:p>
      <w:pPr>
        <w:ind w:left="173" w:hanging="173"/>
      </w:pPr>
      <w:r>
        <w:t>• 重点检查字幕切换、密集段落、场景转换、修正点与首尾。核查字号、留白、对比度、显示时长和平台界面遮挡，并在手机尺寸下复核。</w:t>
      </w:r>
    </w:p>
    <w:p>
      <w:pPr>
        <w:ind w:left="173" w:hanging="173"/>
      </w:pPr>
      <w:r>
        <w:t>• 首、中、末抽帧及小屏缩放可用于早期排错，但不能替代全片检查与实体手机播放；局部预览通过不等于全片通过。</w:t>
      </w:r>
    </w:p>
    <w:p>
      <w:pPr>
        <w:ind w:left="173" w:hanging="173"/>
      </w:pPr>
      <w:r>
        <w:t>• 横屏源不必一律裁满9:16。竖裁会切掉人物或动作关系时，可保留横幅内嵌。放大不会创造缺失细节，低清素材不能承担画面中辨认不出的事实证明。</w:t>
      </w:r>
    </w:p>
    <w:p>
      <w:pPr>
        <w:pStyle w:val="Heading2"/>
      </w:pPr>
      <w:r>
        <w:t>资料画面要说明它能证明什么</w:t>
      </w:r>
    </w:p>
    <w:p>
      <w:r>
        <w:t>为历史返回、训练、记者会和任务支持等资料标明真实年份与性质。记者会不冒充发射或对接实况；训练模拟舱不能指认为特定飞船实体，屏幕演示不能冒充真实现场。</w:t>
      </w:r>
    </w:p>
    <w:p>
      <w:r>
        <w:t>纸面时长是叙事预算，须等真实口播后再定句界、字幕与镜头长度。正式交付前清理“仅验证版式”等审核文字，同时保留故事需要的来源、年份和背景标识。</w:t>
      </w:r>
    </w:p>
    <w:p>
      <w:pPr>
        <w:pStyle w:val="Heading2"/>
      </w:pPr>
      <w:r>
        <w:t>先核可用条件再投入剪辑</w:t>
      </w:r>
    </w:p>
    <w:p>
      <w:r>
        <w:t>每件实际使用的素材都记录来源页面、作者／机构、许可类型与版本、使用范围、署名及链接条件、修改说明和核查日期。事实引用准确不代表画面可复制，下载成功也不代表获得授权。</w:t>
      </w:r>
    </w:p>
    <w:p>
      <w:r>
        <w:t>使用NASA资料时逐件检查版权标识。NASA可能采用第三方受版权保护的素材，其使用不自动把复用权利授予其他人。按具体条件核查署名、人物与标志等要求，避免暗示NASA为作品背书。</w:t>
      </w:r>
    </w:p>
    <w:p>
      <w:pPr>
        <w:spacing w:after="80"/>
      </w:pPr>
      <w:r>
        <w:rPr>
          <w:sz w:val="18"/>
        </w:rPr>
        <w:t>官方来源：NASA Images and Media Usage Guidelines。查阅2026年10月13日。</w:t>
      </w:r>
    </w:p>
    <w:p>
      <w:pPr>
        <w:spacing w:after="80"/>
      </w:pPr>
      <w:hyperlink r:id="rId12">
        <w:r>
          <w:rPr>
            <w:sz w:val="18"/>
            <w:color w:val="204F7A"/>
          </w:rPr>
          <w:t>https://www.nasa.gov/nasa-brand-center/images-and-media/</w:t>
        </w:r>
      </w:hyperlink>
    </w:p>
    <w:p>
      <w:r>
        <w:t>若某次交付要求片内或发布文案不出现URL，应先判断是否能同时满足素材许可的链接等条件；有冲突就替换素材或取得适当许可。不能删掉许可条件后标为合规，也不能把一个项目的呈现要求写成所有平台的通用规则。</w:t>
      </w:r>
    </w:p>
    <w:p>
      <w:r>
        <w:br w:type="page"/>
      </w:r>
    </w:p>
    <w:p>
      <w:pPr>
        <w:pStyle w:val="Heading1"/>
      </w:pPr>
      <w:r>
        <w:t>05 制作发布前清单和故障处理</w:t>
      </w:r>
    </w:p>
    <w:p>
      <w:r>
        <w:t>每片明确制作负责人、两位指定审核者和发布操作人。两位审核者分别承担制作审核与交付审核，必须各自检查同一最终SHA256并独立留下结论；额外技术协作者的报告不能冒充任一指定审核者的通过。交付和公开发布仍按该片已经获得的批准执行。</w:t>
      </w:r>
    </w:p>
    <w:p>
      <w:pPr>
        <w:pStyle w:val="Heading2"/>
      </w:pPr>
      <w:r>
        <w:t>进入下一步前逐项核对</w:t>
      </w:r>
    </w:p>
    <w:p>
      <w:pPr>
        <w:ind w:left="173" w:hanging="173"/>
      </w:pPr>
      <w:r>
        <w:t>• 制作前：稿件版本确定；关键事实、素材源窗与权利条件核实；纸面时长不冒充实测时长。</w:t>
      </w:r>
    </w:p>
    <w:p>
      <w:pPr>
        <w:ind w:left="173" w:hanging="173"/>
      </w:pPr>
      <w:r>
        <w:t>• 渲染前：原音源可追溯且内容质量已核；实际口播与字幕语义完整匹配；字幕、credit和资料标签在实帧中可读。</w:t>
      </w:r>
    </w:p>
    <w:p>
      <w:pPr>
        <w:ind w:left="173" w:hanging="173"/>
      </w:pPr>
      <w:r>
        <w:t>• 交付前：锁定最终SHA256；全片解码、整轨尾部、字幕语义完整及完整实际听审均完成，两位指定审核者各自通过后才交付。任何一方缺席、未实际听审、有失败项或审核指纹不同，都保持待审；不以技术通过补写听审通过。</w:t>
      </w:r>
    </w:p>
    <w:p>
      <w:pPr>
        <w:ind w:left="173" w:hanging="173"/>
      </w:pPr>
      <w:r>
        <w:t>• 提交前：复核平台、账号、文件版本、标题文案、封面、可见范围、时间及时区，以及平台要求的声明。检查同一作品是否已有发布条目或排期。</w:t>
      </w:r>
    </w:p>
    <w:p>
      <w:pPr>
        <w:ind w:left="173" w:hanging="173"/>
      </w:pPr>
      <w:r>
        <w:t>• 提交后：只操作一次，再回到列表及同一记录核对标题、状态、时间和唯一条目。保存证据；“定时发布中”只代表已安排，届时还要核实实际公开。</w:t>
      </w:r>
    </w:p>
    <w:p>
      <w:pPr>
        <w:pStyle w:val="Heading2"/>
      </w:pPr>
      <w:r>
        <w:t>异常时怎样决定下一步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7848"/>
      </w:tblGrid>
      <w:tr>
        <w:trPr>
          <w:cantSplit/>
          <w:tblHeader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E8EFF4"/>
          </w:tcPr>
          <w:p>
            <w:pPr>
              <w:spacing w:line="284" w:lineRule="exact" w:after="20" w:before="20"/>
            </w:pPr>
            <w:r>
              <w:rPr>
                <w:b/>
                <w:sz w:val="20"/>
              </w:rPr>
              <w:t>现象</w:t>
            </w:r>
          </w:p>
        </w:tc>
        <w:tc>
          <w:tcPr>
            <w:tcW w:type="dxa" w:w="78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E8EFF4"/>
          </w:tcPr>
          <w:p>
            <w:pPr>
              <w:spacing w:line="284" w:lineRule="exact" w:after="20" w:before="20"/>
            </w:pPr>
            <w:r>
              <w:rPr>
                <w:b/>
                <w:sz w:val="20"/>
              </w:rPr>
              <w:t>下一步与停止条件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84" w:lineRule="exact" w:after="20" w:before="20"/>
            </w:pPr>
            <w:r>
              <w:rPr>
                <w:b w:val="0"/>
                <w:sz w:val="20"/>
              </w:rPr>
              <w:t>保存报错或等待超时</w:t>
            </w:r>
          </w:p>
        </w:tc>
        <w:tc>
          <w:tcPr>
            <w:tcW w:type="dxa" w:w="78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84" w:lineRule="exact" w:after="20" w:before="20"/>
            </w:pPr>
            <w:r>
              <w:rPr>
                <w:b w:val="0"/>
                <w:sz w:val="20"/>
              </w:rPr>
              <w:t>先读服务器列表及同一记录。已有正确排期就停止重复提交；无法判断时保留不确定状态，先排查。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84" w:lineRule="exact" w:after="20" w:before="20"/>
            </w:pPr>
            <w:r>
              <w:rPr>
                <w:b w:val="0"/>
                <w:sz w:val="20"/>
              </w:rPr>
              <w:t>附件仍在输入框</w:t>
            </w:r>
          </w:p>
        </w:tc>
        <w:tc>
          <w:tcPr>
            <w:tcW w:type="dxa" w:w="78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84" w:lineRule="exact" w:after="20" w:before="20"/>
            </w:pPr>
            <w:r>
              <w:rPr>
                <w:b w:val="0"/>
                <w:sz w:val="20"/>
              </w:rPr>
              <w:t>缩略图或点击发送不算接收回执。保留原草稿，不叠加新发送；取得服务端条目或接收确认后再继续。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84" w:lineRule="exact" w:after="20" w:before="20"/>
            </w:pPr>
            <w:r>
              <w:rPr>
                <w:b w:val="0"/>
                <w:sz w:val="20"/>
              </w:rPr>
              <w:t>草稿与计划不一致</w:t>
            </w:r>
          </w:p>
        </w:tc>
        <w:tc>
          <w:tcPr>
            <w:tcW w:type="dxa" w:w="78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84" w:lineRule="exact" w:after="20" w:before="20"/>
            </w:pPr>
            <w:r>
              <w:rPr>
                <w:b w:val="0"/>
                <w:sz w:val="20"/>
              </w:rPr>
              <w:t>到真实计划列表核对目标条目和时间。草稿存在只能证明草稿，不代表排期成功。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84" w:lineRule="exact" w:after="20" w:before="20"/>
            </w:pPr>
            <w:r>
              <w:rPr>
                <w:b w:val="0"/>
                <w:sz w:val="20"/>
              </w:rPr>
              <w:t>声音或时轴异常</w:t>
            </w:r>
          </w:p>
        </w:tc>
        <w:tc>
          <w:tcPr>
            <w:tcW w:type="dxa" w:w="78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84" w:lineRule="exact" w:after="20" w:before="20"/>
            </w:pPr>
            <w:r>
              <w:rPr>
                <w:b w:val="0"/>
                <w:sz w:val="20"/>
              </w:rPr>
              <w:t>暂停受影响交付，保留问题版本；回到最早原源或最小复现，修复后重验受影响项及最终文件。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84" w:lineRule="exact" w:after="20" w:before="20"/>
            </w:pPr>
            <w:r>
              <w:rPr>
                <w:b w:val="0"/>
                <w:sz w:val="20"/>
              </w:rPr>
              <w:t>权利或事实缺证</w:t>
            </w:r>
          </w:p>
        </w:tc>
        <w:tc>
          <w:tcPr>
            <w:tcW w:type="dxa" w:w="78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84" w:lineRule="exact" w:after="20" w:before="20"/>
            </w:pPr>
            <w:r>
              <w:rPr>
                <w:b w:val="0"/>
                <w:sz w:val="20"/>
              </w:rPr>
              <w:t>暂停使用该素材或论断，补证、替换或删去；资料不足记“待核”。</w:t>
            </w:r>
          </w:p>
        </w:tc>
      </w:tr>
    </w:tbl>
    <w:p>
      <w:r>
        <w:t>草稿、私密提交、已排期和已公开应分别记录。平台“私密”作品也可能已完成提交，不应自动当作可恢复草稿。按项目要求选择暂存方式，任何状态都以实际回读为准。</w:t>
      </w:r>
    </w:p>
    <w:p>
      <w:r>
        <w:t>每份审核记录应列明审核者、日期、最终SHA256、实际检查范围、技术筛查结果、字幕语义完整性、完整听审结果及遗留问题。手机和平台转码检查另列状态。重导出或修复后重新计算SHA256，由两位审核者重审新最终文件；制作自检和独立技术报告不能替代双审核。</w:t>
      </w:r>
    </w:p>
    <w:p>
      <w:r>
        <w:br w:type="page"/>
      </w:r>
    </w:p>
    <w:p>
      <w:pPr>
        <w:pStyle w:val="Heading1"/>
        <w:spacing w:after="60" w:before="120"/>
      </w:pPr>
      <w:r>
        <w:t>06 单片复盘空白模板</w:t>
      </w:r>
    </w:p>
    <w:p>
      <w:pPr>
        <w:spacing w:after="60"/>
      </w:pPr>
      <w:r>
        <w:t>复制本页，在非公开记录中填写。先填证据，再写解释；空项写“未采”或“未检查”。公开分享前去除账号、个人信息、私有文件定位和未获准公开的业务数据。</w:t>
      </w:r>
    </w:p>
    <w:p>
      <w:pPr>
        <w:pStyle w:val="Heading2"/>
        <w:spacing w:after="60" w:before="120"/>
      </w:pPr>
      <w:r>
        <w:t>基本信息与本次改动</w:t>
      </w:r>
    </w:p>
    <w:p>
      <w:pPr>
        <w:spacing w:after="60"/>
      </w:pPr>
      <w:r>
        <w:t>作品代号 __________________  版本 __________________</w:t>
      </w:r>
    </w:p>
    <w:p>
      <w:pPr>
        <w:spacing w:after="60"/>
      </w:pPr>
      <w:r>
        <w:t>片长 __________  平台 __________  实际公开时间与时区 __________________</w:t>
      </w:r>
    </w:p>
    <w:p>
      <w:pPr>
        <w:spacing w:after="60"/>
      </w:pPr>
      <w:r>
        <w:t>公开时间证据 __________________  采集时刻 __________________</w:t>
      </w:r>
    </w:p>
    <w:p>
      <w:pPr>
        <w:spacing w:after="60"/>
      </w:pPr>
      <w:r>
        <w:t>这次主要改动 __________________________________________________</w:t>
      </w:r>
    </w:p>
    <w:p>
      <w:pPr>
        <w:spacing w:after="60"/>
      </w:pPr>
      <w:r>
        <w:t>预期改变的指标 __________________  预定复盘时点 __________________</w:t>
      </w:r>
    </w:p>
    <w:p>
      <w:pPr>
        <w:pStyle w:val="Heading2"/>
        <w:spacing w:after="60" w:before="120"/>
      </w:pPr>
      <w:r>
        <w:t>数据记录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17"/>
        <w:gridCol w:w="1786"/>
        <w:gridCol w:w="2347"/>
        <w:gridCol w:w="2059"/>
        <w:gridCol w:w="1843"/>
      </w:tblGrid>
      <w:tr>
        <w:trPr>
          <w:cantSplit/>
          <w:tblHeader/>
        </w:trPr>
        <w:tc>
          <w:tcPr>
            <w:tcW w:type="dxa" w:w="21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E8EFF4"/>
          </w:tcPr>
          <w:p>
            <w:pPr>
              <w:spacing w:line="284" w:lineRule="exact" w:after="20" w:before="20"/>
            </w:pPr>
            <w:r>
              <w:rPr>
                <w:b/>
                <w:sz w:val="19"/>
              </w:rPr>
              <w:t>实际发布龄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E8EFF4"/>
          </w:tcPr>
          <w:p>
            <w:pPr>
              <w:spacing w:line="284" w:lineRule="exact" w:after="20" w:before="20"/>
            </w:pPr>
            <w:r>
              <w:rPr>
                <w:b/>
                <w:sz w:val="19"/>
              </w:rPr>
              <w:t>播放量及口径</w:t>
            </w:r>
          </w:p>
        </w:tc>
        <w:tc>
          <w:tcPr>
            <w:tcW w:type="dxa" w:w="23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E8EFF4"/>
          </w:tcPr>
          <w:p>
            <w:pPr>
              <w:spacing w:line="284" w:lineRule="exact" w:after="20" w:before="20"/>
            </w:pPr>
            <w:r>
              <w:rPr>
                <w:b/>
                <w:sz w:val="19"/>
              </w:rPr>
              <w:t>2秒跳出／5秒完播</w:t>
            </w:r>
          </w:p>
        </w:tc>
        <w:tc>
          <w:tcPr>
            <w:tcW w:type="dxa" w:w="205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E8EFF4"/>
          </w:tcPr>
          <w:p>
            <w:pPr>
              <w:spacing w:line="284" w:lineRule="exact" w:after="20" w:before="20"/>
            </w:pPr>
            <w:r>
              <w:rPr>
                <w:b/>
                <w:sz w:val="19"/>
              </w:rPr>
              <w:t>平均观看／完播</w:t>
            </w:r>
          </w:p>
        </w:tc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E8EFF4"/>
          </w:tcPr>
          <w:p>
            <w:pPr>
              <w:spacing w:line="284" w:lineRule="exact" w:after="20" w:before="20"/>
            </w:pPr>
            <w:r>
              <w:rPr>
                <w:b/>
                <w:sz w:val="19"/>
              </w:rPr>
              <w:t>来源及变更</w:t>
            </w:r>
          </w:p>
        </w:tc>
      </w:tr>
      <w:tr>
        <w:trPr>
          <w:cantSplit/>
        </w:trPr>
        <w:tc>
          <w:tcPr>
            <w:tcW w:type="dxa" w:w="21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84" w:lineRule="exact" w:after="20" w:before="20"/>
            </w:pPr>
            <w:r>
              <w:rPr>
                <w:b w:val="0"/>
                <w:sz w:val="19"/>
              </w:rPr>
              <w:t>6小时或实测______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84" w:lineRule="exact" w:after="20" w:before="20"/>
            </w:pPr>
            <w:r>
              <w:rPr>
                <w:b w:val="0"/>
                <w:sz w:val="19"/>
              </w:rPr>
            </w:r>
          </w:p>
        </w:tc>
        <w:tc>
          <w:tcPr>
            <w:tcW w:type="dxa" w:w="23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84" w:lineRule="exact" w:after="20" w:before="20"/>
            </w:pPr>
            <w:r>
              <w:rPr>
                <w:b w:val="0"/>
                <w:sz w:val="19"/>
              </w:rPr>
            </w:r>
          </w:p>
        </w:tc>
        <w:tc>
          <w:tcPr>
            <w:tcW w:type="dxa" w:w="205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84" w:lineRule="exact" w:after="20" w:before="20"/>
            </w:pPr>
            <w:r>
              <w:rPr>
                <w:b w:val="0"/>
                <w:sz w:val="19"/>
              </w:rPr>
            </w:r>
          </w:p>
        </w:tc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84" w:lineRule="exact" w:after="20" w:before="20"/>
            </w:pPr>
            <w:r>
              <w:rPr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21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84" w:lineRule="exact" w:after="20" w:before="20"/>
            </w:pPr>
            <w:r>
              <w:rPr>
                <w:b w:val="0"/>
                <w:sz w:val="19"/>
              </w:rPr>
              <w:t>24小时或实测______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84" w:lineRule="exact" w:after="20" w:before="20"/>
            </w:pPr>
            <w:r>
              <w:rPr>
                <w:b w:val="0"/>
                <w:sz w:val="19"/>
              </w:rPr>
            </w:r>
          </w:p>
        </w:tc>
        <w:tc>
          <w:tcPr>
            <w:tcW w:type="dxa" w:w="23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84" w:lineRule="exact" w:after="20" w:before="20"/>
            </w:pPr>
            <w:r>
              <w:rPr>
                <w:b w:val="0"/>
                <w:sz w:val="19"/>
              </w:rPr>
            </w:r>
          </w:p>
        </w:tc>
        <w:tc>
          <w:tcPr>
            <w:tcW w:type="dxa" w:w="205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84" w:lineRule="exact" w:after="20" w:before="20"/>
            </w:pPr>
            <w:r>
              <w:rPr>
                <w:b w:val="0"/>
                <w:sz w:val="19"/>
              </w:rPr>
            </w:r>
          </w:p>
        </w:tc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84" w:lineRule="exact" w:after="20" w:before="20"/>
            </w:pPr>
            <w:r>
              <w:rPr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21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84" w:lineRule="exact" w:after="20" w:before="20"/>
            </w:pPr>
            <w:r>
              <w:rPr>
                <w:b w:val="0"/>
                <w:sz w:val="19"/>
              </w:rPr>
              <w:t>72小时或实测______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84" w:lineRule="exact" w:after="20" w:before="20"/>
            </w:pPr>
            <w:r>
              <w:rPr>
                <w:b w:val="0"/>
                <w:sz w:val="19"/>
              </w:rPr>
            </w:r>
          </w:p>
        </w:tc>
        <w:tc>
          <w:tcPr>
            <w:tcW w:type="dxa" w:w="23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84" w:lineRule="exact" w:after="20" w:before="20"/>
            </w:pPr>
            <w:r>
              <w:rPr>
                <w:b w:val="0"/>
                <w:sz w:val="19"/>
              </w:rPr>
            </w:r>
          </w:p>
        </w:tc>
        <w:tc>
          <w:tcPr>
            <w:tcW w:type="dxa" w:w="205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84" w:lineRule="exact" w:after="20" w:before="20"/>
            </w:pPr>
            <w:r>
              <w:rPr>
                <w:b w:val="0"/>
                <w:sz w:val="19"/>
              </w:rPr>
            </w:r>
          </w:p>
        </w:tc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84" w:lineRule="exact" w:after="20" w:before="2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after="60"/>
      </w:pPr>
      <w:r>
        <w:t>自然日数据另记日期与口径，不混进发布龄累计表。字段定义、导出标签冲突或延迟：</w:t>
        <w:br/>
        <w:t>________________________________________________________________</w:t>
      </w:r>
    </w:p>
    <w:p>
      <w:pPr>
        <w:pStyle w:val="Heading2"/>
        <w:spacing w:after="60" w:before="120"/>
      </w:pPr>
      <w:r>
        <w:t>已证事实与解释分开写</w:t>
      </w:r>
    </w:p>
    <w:p>
      <w:pPr>
        <w:spacing w:after="60"/>
      </w:pPr>
      <w:r>
        <w:t>已证事实及来源 __________________________________________________</w:t>
      </w:r>
    </w:p>
    <w:p>
      <w:pPr>
        <w:spacing w:after="60"/>
      </w:pPr>
      <w:r>
        <w:t>可能解释与其他因素 ______________________________________________</w:t>
      </w:r>
    </w:p>
    <w:p>
      <w:pPr>
        <w:spacing w:after="60"/>
      </w:pPr>
      <w:r>
        <w:t>缺失证据／不能下的结论 __________________________________________</w:t>
      </w:r>
    </w:p>
    <w:p>
      <w:pPr>
        <w:pStyle w:val="Heading2"/>
        <w:spacing w:after="60" w:before="120"/>
      </w:pPr>
      <w:r>
        <w:t>检查结果与发布回读</w:t>
      </w:r>
    </w:p>
    <w:p>
      <w:pPr>
        <w:spacing w:after="60"/>
      </w:pPr>
      <w:r>
        <w:t>各填通过／失败／未检查：</w:t>
        <w:br/>
        <w:t>原源内容质量 ______  原音源链 ______  技术筛查及尾部 ______</w:t>
        <w:br/>
        <w:t>字幕语义完整 ______  字幕画面 ______  事实与素材权利 ______</w:t>
        <w:br/>
        <w:t>完整实际听审 ______  手机播放 ______  平台转码 ______</w:t>
      </w:r>
    </w:p>
    <w:p>
      <w:pPr>
        <w:spacing w:after="60"/>
      </w:pPr>
      <w:r>
        <w:t>最终SHA256 ____________________________________________________</w:t>
        <w:br/>
        <w:t>制作审核者与日期 __________  独立结果及记录位置 __________________</w:t>
        <w:br/>
        <w:t>交付审核者与日期 __________  独立结果及记录位置 __________________</w:t>
      </w:r>
    </w:p>
    <w:p>
      <w:pPr>
        <w:spacing w:after="60"/>
      </w:pPr>
      <w:r>
        <w:t>最终版本确认 ______  单次提交回读 ______  到时公开回读 ______</w:t>
        <w:br/>
        <w:t>接收确认 ______  遗留问题与影响 __________________________________</w:t>
      </w:r>
    </w:p>
    <w:p>
      <w:pPr>
        <w:pStyle w:val="Heading2"/>
        <w:spacing w:after="60" w:before="120"/>
      </w:pPr>
      <w:r>
        <w:t>下次怎样改</w:t>
      </w:r>
    </w:p>
    <w:p>
      <w:pPr>
        <w:spacing w:after="60"/>
      </w:pPr>
      <w:r>
        <w:t>保留／撤回／继续验证的改法 ______________________________________</w:t>
      </w:r>
    </w:p>
    <w:p>
      <w:pPr>
        <w:spacing w:after="60"/>
      </w:pPr>
      <w:r>
        <w:t>下一步 __________________  负责人 __________  复查日期 __________</w:t>
      </w:r>
    </w:p>
    <w:p>
      <w:pPr>
        <w:spacing w:after="60"/>
      </w:pPr>
      <w:r>
        <w:t>复核意见 ________________________________________________________</w:t>
      </w:r>
    </w:p>
    <w:p>
      <w:pPr>
        <w:spacing w:after="60"/>
      </w:pPr>
      <w:r>
        <w:t>记录原则：不补造缺失采样，不把推测写成因果，不跨版本继承通过，不把点击、缩略图或草稿当作发布和接收完成。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389" w:footer="38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7"/>
      </w:rPr>
      <w:t xml:space="preserve">2026年10月13日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7"/>
      </w:rPr>
      <w:t>科技故事视频制作与运营  公开学习版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312" w:lineRule="exact"/>
    </w:pPr>
    <w:rPr>
      <w:rFonts w:ascii="Noto Sans CJK SC" w:hAnsi="Noto Sans CJK SC" w:eastAsia="Noto Sans CJK S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widowControl/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widowControl/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480" w:after="200" w:line="312" w:lineRule="exact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80" w:after="100" w:line="312" w:lineRule="exact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120" w:line="312" w:lineRule="exact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widowControl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widowControl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widowControl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widowControl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widowControl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widowControl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widowControl/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140" w:line="312" w:lineRule="exact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after="120" w:line="312" w:lineRule="exact"/>
    </w:pPr>
    <w:rPr>
      <w:rFonts w:asciiTheme="majorHAnsi" w:eastAsiaTheme="majorEastAsia" w:hAnsiTheme="majorHAnsi" w:cstheme="majorBidi" w:ascii="Noto Sans CJK SC" w:hAnsi="Noto Sans CJK SC" w:eastAsia="Noto Sans CJK SC"/>
      <w:i w:val="0"/>
      <w:iCs/>
      <w:color w:val="000000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widowControl/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widowControl/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widowControl/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widowControl/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widowControl/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widowControl/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widowControl/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widowControl/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widowControl/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widowControl/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widowControl/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widowControl/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widowControl/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widowControl/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widowControl/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widowControl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widowControl/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widowControl/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ffmpeg.org/ffmpeg-formats.html#concat" TargetMode="External"/><Relationship Id="rId12" Type="http://schemas.openxmlformats.org/officeDocument/2006/relationships/hyperlink" Target="https://www.nasa.gov/nasa-brand-center/images-and-medi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科技故事视频运营与制作复盘手册</dc:title>
  <dc:subject>通用方法  制作验收  发布回读  空白复盘模板</dc:subject>
  <dc:creator/>
  <cp:keywords>视频制作,运营复盘,验收清单</cp:keywords>
  <dc:description/>
  <cp:lastModifiedBy/>
  <cp:revision>1</cp:revision>
  <dcterms:created xsi:type="dcterms:W3CDTF">2026-10-13T00:00:00Z</dcterms:created>
  <dcterms:modified xsi:type="dcterms:W3CDTF">2026-10-13T00:00:00Z</dcterms:modified>
  <cp:category/>
</cp:coreProperties>
</file>