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破产，是指</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"https://baike.baidu.com/item/%E5%80%BA%E5%8A%A1%E4%BA%BA/2659956" \t "https://baike.baidu.com/item/%E7%A0%B4%E4%BA%A7/_blank"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债务人</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因不能偿债或者资不抵债时，由</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"https://baike.baidu.com/item/%E5%80%BA%E6%9D%83%E4%BA%BA/2660006" \t "https://baike.baidu.com/item/%E7%A0%B4%E4%BA%A7/_blank"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债权人</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或债务人诉请法院宣告破产并依破产程序偿还债务的一种法律制度。狭义的破产制度仅指破产</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"https://baike.baidu.com/item/%E6%B8%85%E7%AE%97" \t "https://baike.baidu.com/item/%E7%A0%B4%E4%BA%A7/_blank"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清算</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制度，广义的破产制度还包括重整与</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"https://baike.baidu.com/item/%E5%92%8C%E8%A7%A3%E5%88%B6%E5%BA%A6/6241616" \t "https://baike.baidu.com/item/%E7%A0%B4%E4%BA%A7/_blank"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和解制度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。破产多数情况下都指一种公司行为和经济行为。但人们有时也习惯把个人或者公司停止继续经营亦叫做破产。</w:t>
      </w:r>
    </w:p>
    <w:p>
      <w:pPr>
        <w:rPr>
          <w:rFonts w:hint="default" w:ascii="Arial" w:hAnsi="Arial" w:eastAsia="宋体" w:cs="Arial"/>
          <w:i w:val="0"/>
          <w:caps w:val="0"/>
          <w:color w:val="333333"/>
          <w:spacing w:val="0"/>
          <w:sz w:val="18"/>
          <w:szCs w:val="18"/>
          <w:shd w:val="clear" w:fill="FFFFFF"/>
        </w:rPr>
      </w:pPr>
    </w:p>
    <w:p>
      <w:pPr>
        <w:rPr>
          <w:rFonts w:ascii="微软雅黑" w:hAnsi="微软雅黑" w:eastAsia="微软雅黑" w:cs="微软雅黑"/>
          <w:i w:val="0"/>
          <w:caps w:val="0"/>
          <w:color w:val="333333"/>
          <w:spacing w:val="0"/>
          <w:sz w:val="20"/>
          <w:szCs w:val="20"/>
          <w:shd w:val="clear" w:fill="FAFAFA"/>
        </w:rPr>
      </w:pPr>
      <w:r>
        <w:rPr>
          <w:rFonts w:ascii="微软雅黑" w:hAnsi="微软雅黑" w:eastAsia="微软雅黑" w:cs="微软雅黑"/>
          <w:i w:val="0"/>
          <w:caps w:val="0"/>
          <w:color w:val="333333"/>
          <w:spacing w:val="0"/>
          <w:sz w:val="20"/>
          <w:szCs w:val="20"/>
          <w:shd w:val="clear" w:fill="FAFAFA"/>
        </w:rPr>
        <w:t>公司破产，指的是公司因不能清偿到期债务，无力继续经营，由法院宣告停止营业，进行债权债务清理的状态。</w:t>
      </w:r>
    </w:p>
    <w:p>
      <w:pPr>
        <w:rPr>
          <w:rFonts w:ascii="微软雅黑" w:hAnsi="微软雅黑" w:eastAsia="微软雅黑" w:cs="微软雅黑"/>
          <w:i w:val="0"/>
          <w:caps w:val="0"/>
          <w:color w:val="333333"/>
          <w:spacing w:val="0"/>
          <w:sz w:val="20"/>
          <w:szCs w:val="20"/>
          <w:shd w:val="clear" w:fill="FAFAFA"/>
        </w:rPr>
      </w:pPr>
    </w:p>
    <w:p>
      <w:pPr>
        <w:rPr>
          <w:rFonts w:hint="eastAsia" w:ascii="微软雅黑" w:hAnsi="微软雅黑" w:eastAsia="微软雅黑" w:cs="微软雅黑"/>
          <w:i w:val="0"/>
          <w:caps w:val="0"/>
          <w:color w:val="333333"/>
          <w:spacing w:val="0"/>
          <w:sz w:val="20"/>
          <w:szCs w:val="20"/>
          <w:shd w:val="clear" w:fill="FAFAFA"/>
        </w:rPr>
      </w:pPr>
      <w:r>
        <w:rPr>
          <w:rFonts w:ascii="微软雅黑" w:hAnsi="微软雅黑" w:eastAsia="微软雅黑" w:cs="微软雅黑"/>
          <w:i w:val="0"/>
          <w:caps w:val="0"/>
          <w:color w:val="333333"/>
          <w:spacing w:val="0"/>
          <w:sz w:val="20"/>
          <w:szCs w:val="20"/>
          <w:shd w:val="clear" w:fill="FAFAFA"/>
        </w:rPr>
        <w:t>依照我国《公司法》第147条的规定，担任</w:t>
      </w:r>
      <w:r>
        <w:rPr>
          <w:rFonts w:hint="eastAsia" w:ascii="微软雅黑" w:hAnsi="微软雅黑" w:eastAsia="微软雅黑" w:cs="微软雅黑"/>
          <w:i w:val="0"/>
          <w:caps w:val="0"/>
          <w:color w:val="297ACC"/>
          <w:spacing w:val="0"/>
          <w:sz w:val="20"/>
          <w:szCs w:val="20"/>
          <w:u w:val="single"/>
          <w:shd w:val="clear" w:fill="FAFAFA"/>
        </w:rPr>
        <w:fldChar w:fldCharType="begin"/>
      </w:r>
      <w:r>
        <w:rPr>
          <w:rFonts w:hint="eastAsia" w:ascii="微软雅黑" w:hAnsi="微软雅黑" w:eastAsia="微软雅黑" w:cs="微软雅黑"/>
          <w:i w:val="0"/>
          <w:caps w:val="0"/>
          <w:color w:val="297ACC"/>
          <w:spacing w:val="0"/>
          <w:sz w:val="20"/>
          <w:szCs w:val="20"/>
          <w:u w:val="single"/>
          <w:shd w:val="clear" w:fill="FAFAFA"/>
        </w:rPr>
        <w:instrText xml:space="preserve"> HYPERLINK "http://www.66law.cn/special/pcqs/" \o "破产清算" \t "http://www.66law.cn/laws/_blank" </w:instrText>
      </w:r>
      <w:r>
        <w:rPr>
          <w:rFonts w:hint="eastAsia" w:ascii="微软雅黑" w:hAnsi="微软雅黑" w:eastAsia="微软雅黑" w:cs="微软雅黑"/>
          <w:i w:val="0"/>
          <w:caps w:val="0"/>
          <w:color w:val="297ACC"/>
          <w:spacing w:val="0"/>
          <w:sz w:val="20"/>
          <w:szCs w:val="20"/>
          <w:u w:val="single"/>
          <w:shd w:val="clear" w:fill="FAFAFA"/>
        </w:rPr>
        <w:fldChar w:fldCharType="separate"/>
      </w:r>
      <w:r>
        <w:rPr>
          <w:rStyle w:val="4"/>
          <w:rFonts w:hint="eastAsia" w:ascii="微软雅黑" w:hAnsi="微软雅黑" w:eastAsia="微软雅黑" w:cs="微软雅黑"/>
          <w:i w:val="0"/>
          <w:caps w:val="0"/>
          <w:color w:val="297ACC"/>
          <w:spacing w:val="0"/>
          <w:sz w:val="20"/>
          <w:szCs w:val="20"/>
          <w:u w:val="single"/>
          <w:shd w:val="clear" w:fill="FAFAFA"/>
        </w:rPr>
        <w:t>破产清算</w:t>
      </w:r>
      <w:r>
        <w:rPr>
          <w:rFonts w:hint="eastAsia" w:ascii="微软雅黑" w:hAnsi="微软雅黑" w:eastAsia="微软雅黑" w:cs="微软雅黑"/>
          <w:i w:val="0"/>
          <w:caps w:val="0"/>
          <w:color w:val="297ACC"/>
          <w:spacing w:val="0"/>
          <w:sz w:val="20"/>
          <w:szCs w:val="20"/>
          <w:u w:val="single"/>
          <w:shd w:val="clear" w:fill="FAFAFA"/>
        </w:rPr>
        <w:fldChar w:fldCharType="end"/>
      </w:r>
      <w:r>
        <w:rPr>
          <w:rFonts w:hint="eastAsia" w:ascii="微软雅黑" w:hAnsi="微软雅黑" w:eastAsia="微软雅黑" w:cs="微软雅黑"/>
          <w:i w:val="0"/>
          <w:caps w:val="0"/>
          <w:color w:val="333333"/>
          <w:spacing w:val="0"/>
          <w:sz w:val="20"/>
          <w:szCs w:val="20"/>
          <w:shd w:val="clear" w:fill="FAFAFA"/>
        </w:rPr>
        <w:t>的公司、企业的董事或者厂长、经理，对该公司、企业的破产负有个人责任的，自该公司、企业破产清算完结之日起未逾三年，不得担任公司的董事、监事、高级管理人员。</w:t>
      </w:r>
    </w:p>
    <w:p>
      <w:pPr>
        <w:rPr>
          <w:rFonts w:hint="eastAsia" w:ascii="微软雅黑" w:hAnsi="微软雅黑" w:eastAsia="微软雅黑" w:cs="微软雅黑"/>
          <w:i w:val="0"/>
          <w:caps w:val="0"/>
          <w:color w:val="333333"/>
          <w:spacing w:val="0"/>
          <w:sz w:val="20"/>
          <w:szCs w:val="20"/>
          <w:shd w:val="clear" w:fill="FAFAFA"/>
        </w:rPr>
      </w:pPr>
    </w:p>
    <w:p>
      <w:pPr>
        <w:rPr>
          <w:rFonts w:ascii="微软雅黑" w:hAnsi="微软雅黑" w:eastAsia="微软雅黑" w:cs="微软雅黑"/>
          <w:i w:val="0"/>
          <w:caps w:val="0"/>
          <w:color w:val="333333"/>
          <w:spacing w:val="0"/>
          <w:sz w:val="20"/>
          <w:szCs w:val="20"/>
          <w:shd w:val="clear" w:fill="FAFAFA"/>
        </w:rPr>
      </w:pPr>
      <w:r>
        <w:rPr>
          <w:rFonts w:ascii="微软雅黑" w:hAnsi="微软雅黑" w:eastAsia="微软雅黑" w:cs="微软雅黑"/>
          <w:i w:val="0"/>
          <w:caps w:val="0"/>
          <w:color w:val="333333"/>
          <w:spacing w:val="0"/>
          <w:sz w:val="20"/>
          <w:szCs w:val="20"/>
          <w:shd w:val="clear" w:fill="FAFAFA"/>
        </w:rPr>
        <w:t>破产宣告使得有财产担保或者其他优先受偿权的债权人可以经由担保物或者特定财产获得优先清偿</w:t>
      </w:r>
    </w:p>
    <w:p>
      <w:pPr>
        <w:rPr>
          <w:rFonts w:ascii="微软雅黑" w:hAnsi="微软雅黑" w:eastAsia="微软雅黑" w:cs="微软雅黑"/>
          <w:i w:val="0"/>
          <w:caps w:val="0"/>
          <w:color w:val="333333"/>
          <w:spacing w:val="0"/>
          <w:sz w:val="20"/>
          <w:szCs w:val="20"/>
          <w:shd w:val="clear" w:fill="FAFAFA"/>
        </w:rPr>
      </w:pPr>
    </w:p>
    <w:p>
      <w:pPr>
        <w:rPr>
          <w:rFonts w:hint="default" w:ascii="微软雅黑" w:hAnsi="微软雅黑" w:eastAsia="微软雅黑" w:cs="微软雅黑"/>
          <w:i w:val="0"/>
          <w:caps w:val="0"/>
          <w:color w:val="333333"/>
          <w:spacing w:val="0"/>
          <w:sz w:val="20"/>
          <w:szCs w:val="20"/>
          <w:shd w:val="clear" w:fill="FAFAF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402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2019-03-21T02:21:42Z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