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rFonts w:ascii="方正小标宋简体" w:hAnsi="方正小标宋简体" w:eastAsia="方正小标宋简体" w:cs="方正小标宋简体"/>
          <w:i w:val="0"/>
          <w:caps w:val="0"/>
          <w:color w:val="000000"/>
          <w:spacing w:val="0"/>
          <w:sz w:val="38"/>
          <w:szCs w:val="38"/>
          <w:shd w:val="clear" w:fill="FFFFFF"/>
        </w:rPr>
        <w:t>华侨大学高层次人才招聘启事</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6"/>
          <w:szCs w:val="26"/>
          <w:shd w:val="clear" w:fill="FFFFFF"/>
        </w:rPr>
        <w:t>华侨大学是中国著名高等学府，创办于1960年，校区分别坐落于中国著名侨乡福建省泉州市和厦门市，学校直属国务院侨办领导。华侨大学是国家重点建设的综合性大学，在50余年的办学历程中，周恩来、李先念、习近平、胡锦涛、贾庆林、李长春、刘延东等党和国家领导人先后为学校建设与发展做出重要指示。</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6"/>
          <w:szCs w:val="26"/>
          <w:shd w:val="clear" w:fill="FFFFFF"/>
        </w:rPr>
        <w:t>学校设有研究生院，有28个教学学院，</w:t>
      </w:r>
      <w:r>
        <w:rPr>
          <w:rFonts w:hint="eastAsia" w:ascii="宋体" w:hAnsi="宋体" w:eastAsia="宋体" w:cs="宋体"/>
          <w:b w:val="0"/>
          <w:i w:val="0"/>
          <w:caps w:val="0"/>
          <w:color w:val="333333"/>
          <w:spacing w:val="0"/>
          <w:sz w:val="23"/>
          <w:szCs w:val="23"/>
          <w:shd w:val="clear" w:fill="FFFFFF"/>
        </w:rPr>
        <w:t>94个本科专业，其中10个专业通过工程教育认证。学校现有27个一级学科硕士点、2个二级学科硕士点，20个专业学位硕士点，8个一级学科博士点、2个二级学科博士点，5个博士后流动站。</w:t>
      </w:r>
      <w:r>
        <w:rPr>
          <w:rFonts w:hint="eastAsia" w:ascii="宋体" w:hAnsi="宋体" w:eastAsia="宋体" w:cs="宋体"/>
          <w:i w:val="0"/>
          <w:caps w:val="0"/>
          <w:color w:val="000000"/>
          <w:spacing w:val="0"/>
          <w:sz w:val="26"/>
          <w:szCs w:val="26"/>
          <w:shd w:val="clear" w:fill="FFFFFF"/>
        </w:rPr>
        <w:t>学校拥有哲学、经济学、法学、教育学、文学、历史学、理学、工学、农学、医学、管理学、艺术学等12个学科门类，形成了理工结合、文理渗透、工管相济、协调发展的学科体系。学校现有国家重点学科、省部级重点学科共41个。目前来自50多个国家和地区的华侨华人、港澳台和外国学生5000余人，是全国境外学生最多的大学之一。学校设施完善，气候宜人，环境优美，拥有海滨城市所特有的优质空气质量。</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6"/>
          <w:szCs w:val="26"/>
          <w:shd w:val="clear" w:fill="FFFFFF"/>
        </w:rPr>
        <w:t>华侨大学坚定不移地走内涵发展之路、特色兴校之路、人才强校之路，全面提高人才培养质量和整体办学水平，致力于建设成为基础雄厚、特色鲜明、海内外著名的高水平大学。华侨大学诚挚欢迎海内外高层次人才加盟!</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一、招聘学科</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哲学、理论经济学、应用经济学、法学、政治学、社会学、马克思主义理论、体育学、中国语言文学、外国语言文学、汉语言文字学、新闻传播学、艺术学、设计学、历史学、数学、统计学、物理学、化学、海洋科学、生物学、力学、机械工程、光学工程、仪器科学与技术、材料科学与工程、电气工程、电子科学与技术、信息与通信工程、控制科学与工程、软件工程、建筑学、城乡规划、风景园林、土木工程、化学工程与技术、环境科学与工程、生物医学工程、园艺学、药学、管理科学与工程、工商管理、公共管理</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二、招聘条件</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（一）基本条件</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拥护</w:t>
      </w:r>
      <w:r>
        <w:rPr>
          <w:rFonts w:hint="eastAsia" w:ascii="宋体" w:hAnsi="宋体" w:eastAsia="宋体" w:cs="宋体"/>
          <w:i w:val="0"/>
          <w:caps w:val="0"/>
          <w:color w:val="auto"/>
          <w:spacing w:val="0"/>
          <w:sz w:val="24"/>
          <w:szCs w:val="24"/>
          <w:shd w:val="clear" w:fill="FFFFFF"/>
          <w:lang w:val="en-US"/>
        </w:rPr>
        <w:t>中国共产党</w:t>
      </w:r>
      <w:r>
        <w:rPr>
          <w:rFonts w:hint="eastAsia" w:ascii="宋体" w:hAnsi="宋体" w:eastAsia="宋体" w:cs="宋体"/>
          <w:i w:val="0"/>
          <w:caps w:val="0"/>
          <w:color w:val="000000"/>
          <w:spacing w:val="0"/>
          <w:sz w:val="24"/>
          <w:szCs w:val="24"/>
          <w:shd w:val="clear" w:fill="FFFFFF"/>
        </w:rPr>
        <w:t>领导，热爱中国，遵纪守法，诚实守信，立德树人，学风严谨，为人正派，有良好的职业道德、事业心与责任感，身心健康。</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（二）具体条件</w:t>
      </w:r>
    </w:p>
    <w:p>
      <w:pPr>
        <w:pStyle w:val="2"/>
        <w:keepNext w:val="0"/>
        <w:keepLines w:val="0"/>
        <w:widowControl/>
        <w:suppressLineNumbers w:val="0"/>
        <w:spacing w:line="353" w:lineRule="atLeast"/>
        <w:ind w:left="0" w:firstLine="484"/>
      </w:pPr>
      <w:r>
        <w:rPr>
          <w:rFonts w:ascii="仿宋_gb2312" w:hAnsi="仿宋_gb2312" w:eastAsia="仿宋_gb2312" w:cs="仿宋_gb2312"/>
          <w:i w:val="0"/>
          <w:caps w:val="0"/>
          <w:color w:val="000000"/>
          <w:spacing w:val="0"/>
          <w:sz w:val="24"/>
          <w:szCs w:val="24"/>
          <w:shd w:val="clear" w:fill="FFFFFF"/>
          <w:lang w:val="en-US"/>
        </w:rPr>
        <w:t>1.</w:t>
      </w:r>
      <w:r>
        <w:rPr>
          <w:rFonts w:hint="eastAsia" w:ascii="宋体" w:hAnsi="宋体" w:eastAsia="宋体" w:cs="宋体"/>
          <w:i w:val="0"/>
          <w:caps w:val="0"/>
          <w:color w:val="000000"/>
          <w:spacing w:val="0"/>
          <w:sz w:val="24"/>
          <w:szCs w:val="24"/>
          <w:shd w:val="clear" w:fill="FFFFFF"/>
        </w:rPr>
        <w:t>第一层次</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color="FFFFFF" w:fill="D9D9D9"/>
        </w:rPr>
        <w:t>中国科学院院士、中国工程院院士</w:t>
      </w:r>
      <w:r>
        <w:rPr>
          <w:rFonts w:hint="eastAsia" w:ascii="宋体" w:hAnsi="宋体" w:eastAsia="宋体" w:cs="宋体"/>
          <w:i w:val="0"/>
          <w:caps w:val="0"/>
          <w:color w:val="000000"/>
          <w:spacing w:val="0"/>
          <w:sz w:val="24"/>
          <w:szCs w:val="24"/>
          <w:shd w:val="clear" w:fill="FFFFFF"/>
        </w:rPr>
        <w:t>、“国家特支计划”杰出人才、国内外相当于两院院士水平的人才。</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2.</w:t>
      </w:r>
      <w:r>
        <w:rPr>
          <w:rFonts w:hint="eastAsia" w:ascii="宋体" w:hAnsi="宋体" w:eastAsia="宋体" w:cs="宋体"/>
          <w:i w:val="0"/>
          <w:caps w:val="0"/>
          <w:color w:val="000000"/>
          <w:spacing w:val="0"/>
          <w:sz w:val="24"/>
          <w:szCs w:val="24"/>
          <w:shd w:val="clear" w:fill="FFFFFF"/>
        </w:rPr>
        <w:t>第二层次</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两院院士有效候选人，“国家特支计划”领军人才，长江学者特聘教授，国家杰出青年科学基金获得者，</w:t>
      </w:r>
      <w:r>
        <w:rPr>
          <w:rFonts w:hint="eastAsia" w:ascii="宋体" w:hAnsi="宋体" w:eastAsia="宋体" w:cs="宋体"/>
          <w:i w:val="0"/>
          <w:caps w:val="0"/>
          <w:color w:val="000000"/>
          <w:spacing w:val="0"/>
          <w:sz w:val="24"/>
          <w:szCs w:val="24"/>
          <w:shd w:val="clear" w:color="FFFFFF" w:fill="D9D9D9"/>
        </w:rPr>
        <w:t>“千人计划”</w:t>
      </w:r>
      <w:r>
        <w:rPr>
          <w:rFonts w:hint="eastAsia" w:ascii="宋体" w:hAnsi="宋体" w:eastAsia="宋体" w:cs="宋体"/>
          <w:i w:val="0"/>
          <w:caps w:val="0"/>
          <w:color w:val="000000"/>
          <w:spacing w:val="0"/>
          <w:sz w:val="24"/>
          <w:szCs w:val="24"/>
          <w:shd w:val="clear" w:fill="FFFFFF"/>
        </w:rPr>
        <w:t>长期项目等国家级人才项目入选者；国家重点（培育）学科、重点实验室第一负责人，国家重大项目首席科学家，国家科学技术奖获得者（排名第一）、教育部高校社科成果奖一等奖获得者（排名第一）。</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国内外著名高校、研究院所的教授，</w:t>
      </w:r>
      <w:r>
        <w:rPr>
          <w:rFonts w:hint="eastAsia" w:ascii="宋体" w:hAnsi="宋体" w:eastAsia="宋体" w:cs="宋体"/>
          <w:i w:val="0"/>
          <w:caps w:val="0"/>
          <w:color w:val="000000"/>
          <w:spacing w:val="0"/>
          <w:sz w:val="24"/>
          <w:szCs w:val="24"/>
          <w:shd w:val="clear" w:color="FFFFFF" w:fill="D9D9D9"/>
        </w:rPr>
        <w:t>近五年以第一作者或第一通讯作者在《Nature》《Science》《Cell》正刊上全文发表学术论文1篇及以上或在《中国社会科学》上全文发表学术论文2篇及以上；或在国际学术机构中担任重要职务的专家；或具有海内外公认的重要学术成就和影响的知名学者</w:t>
      </w:r>
      <w:r>
        <w:rPr>
          <w:rFonts w:hint="eastAsia" w:ascii="宋体" w:hAnsi="宋体" w:eastAsia="宋体" w:cs="宋体"/>
          <w:i w:val="0"/>
          <w:caps w:val="0"/>
          <w:color w:val="000000"/>
          <w:spacing w:val="0"/>
          <w:sz w:val="24"/>
          <w:szCs w:val="24"/>
          <w:shd w:val="clear" w:fill="FFFFFF"/>
        </w:rPr>
        <w:t>。</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年龄一般不超过55周岁。</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3.</w:t>
      </w:r>
      <w:r>
        <w:rPr>
          <w:rFonts w:hint="eastAsia" w:ascii="宋体" w:hAnsi="宋体" w:eastAsia="宋体" w:cs="宋体"/>
          <w:i w:val="0"/>
          <w:caps w:val="0"/>
          <w:color w:val="000000"/>
          <w:spacing w:val="0"/>
          <w:sz w:val="24"/>
          <w:szCs w:val="24"/>
          <w:shd w:val="clear" w:fill="FFFFFF"/>
        </w:rPr>
        <w:t>第三层次</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重点引进“百千万人才工程”国家级人选，“国家特支计划” 青年拔尖人才、科技部创新人才推进计划入选者，教育部“新世纪优秀人才支持计划”入选者，国家优秀青年科学基金入选者，国家“</w:t>
      </w:r>
      <w:r>
        <w:rPr>
          <w:rFonts w:hint="eastAsia" w:ascii="宋体" w:hAnsi="宋体" w:eastAsia="宋体" w:cs="宋体"/>
          <w:i w:val="0"/>
          <w:caps w:val="0"/>
          <w:color w:val="000000"/>
          <w:spacing w:val="0"/>
          <w:sz w:val="24"/>
          <w:szCs w:val="24"/>
          <w:shd w:val="clear" w:color="FFFFFF" w:fill="D9D9D9"/>
        </w:rPr>
        <w:t>青年千人计划</w:t>
      </w:r>
      <w:r>
        <w:rPr>
          <w:rFonts w:hint="eastAsia" w:ascii="宋体" w:hAnsi="宋体" w:eastAsia="宋体" w:cs="宋体"/>
          <w:i w:val="0"/>
          <w:caps w:val="0"/>
          <w:color w:val="000000"/>
          <w:spacing w:val="0"/>
          <w:sz w:val="24"/>
          <w:szCs w:val="24"/>
          <w:shd w:val="clear" w:fill="FFFFFF"/>
        </w:rPr>
        <w:t>”入选者，</w:t>
      </w:r>
      <w:r>
        <w:rPr>
          <w:rFonts w:hint="eastAsia" w:ascii="宋体" w:hAnsi="宋体" w:eastAsia="宋体" w:cs="宋体"/>
          <w:i w:val="0"/>
          <w:caps w:val="0"/>
          <w:color w:val="000000"/>
          <w:spacing w:val="0"/>
          <w:sz w:val="24"/>
          <w:szCs w:val="24"/>
          <w:shd w:val="clear" w:color="FFFFFF" w:fill="D9D9D9"/>
        </w:rPr>
        <w:t>长江学者青年项目入选者</w:t>
      </w:r>
      <w:r>
        <w:rPr>
          <w:rFonts w:hint="eastAsia" w:ascii="宋体" w:hAnsi="宋体" w:eastAsia="宋体" w:cs="宋体"/>
          <w:i w:val="0"/>
          <w:caps w:val="0"/>
          <w:color w:val="000000"/>
          <w:spacing w:val="0"/>
          <w:sz w:val="24"/>
          <w:szCs w:val="24"/>
          <w:shd w:val="clear" w:fill="FFFFFF"/>
        </w:rPr>
        <w:t>。</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国内知名高校的教授、海外知名高校的副教授。且近五年主持国家级重大项目，或获得省部级科学技术奖一等奖1项（排名第一），或教育部高校社科成果奖二等奖获得者（排名第一），或获得省级社会科学优秀成果奖一等奖1项（排名第一），或以第一作者或第一通讯作者在《Nature》《Science》《Cell》正刊、《中国社会科学》上全文发表学术论文1篇，或在《Nature》《Science》《Cell》子刊上全文发表学术论文2篇及以上，或材料、化学学科在影响因子大于10的国际公认顶级刊物上发表学术论文6篇及以上，或物理、光学、生物医学学科在JCR-SCI刊源1区或认定为SCI TOP的刊物正刊上全文发表学术论文10篇及以上，机械、化工学科发表8篇及以上，其他学科发表6篇及以上（论文的影响因子以中国科学院文献情报中心发布的当年JCR期刊影响因子的大类分区情况为准，下同），或在我校人文社科一类刊物上发表学术论文7篇及以上，或近五年在国家级科研项目、省级人才项目、本学科高水平论文、省部级教学科研奖励中具有三项突出业绩成果者。</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年龄一般不超过45周岁。</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4.</w:t>
      </w:r>
      <w:r>
        <w:rPr>
          <w:rFonts w:hint="eastAsia" w:ascii="宋体" w:hAnsi="宋体" w:eastAsia="宋体" w:cs="宋体"/>
          <w:i w:val="0"/>
          <w:caps w:val="0"/>
          <w:color w:val="000000"/>
          <w:spacing w:val="0"/>
          <w:sz w:val="24"/>
          <w:szCs w:val="24"/>
          <w:shd w:val="clear" w:fill="FFFFFF"/>
        </w:rPr>
        <w:t>第四层次</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重点引进具备冲击国家优秀青年科学基金、国家“青年千人计划”、长江学者青年项目、国家青年拔尖人才等青年高层次人才项目水平的青年人才。若已经进入上述国家级青年项目会评的人选，可直接入选。</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在国内知名高校受聘副教授及以上职位，任副教授以来（如副教授任职超过5年主要考察近5年）的业绩条件应高于我校该学科破格晋升教授的业绩条件。海外应聘人员主要考核论文</w:t>
      </w:r>
      <w:bookmarkStart w:id="0" w:name="_GoBack"/>
      <w:bookmarkEnd w:id="0"/>
      <w:r>
        <w:rPr>
          <w:rFonts w:hint="eastAsia" w:ascii="宋体" w:hAnsi="宋体" w:eastAsia="宋体" w:cs="宋体"/>
          <w:i w:val="0"/>
          <w:caps w:val="0"/>
          <w:color w:val="000000"/>
          <w:spacing w:val="0"/>
          <w:sz w:val="24"/>
          <w:szCs w:val="24"/>
          <w:shd w:val="clear" w:fill="FFFFFF"/>
        </w:rPr>
        <w:t>论著条件，</w:t>
      </w:r>
      <w:r>
        <w:rPr>
          <w:rFonts w:hint="eastAsia" w:ascii="宋体" w:hAnsi="宋体" w:eastAsia="宋体" w:cs="宋体"/>
          <w:i w:val="0"/>
          <w:caps w:val="0"/>
          <w:color w:val="000000"/>
          <w:spacing w:val="0"/>
          <w:sz w:val="24"/>
          <w:szCs w:val="24"/>
          <w:shd w:val="clear" w:color="FFFFFF" w:fill="D9D9D9"/>
        </w:rPr>
        <w:t>近5年取得本学科领域标志性成果，原则上发表论文情况应高于我校破格晋升教授论文标准的1.5倍，或近五年以第一作者或第一通讯作者在影响因子大于20的《Nature》《Science》《Cell》子刊上全文发表学术论文1篇</w:t>
      </w:r>
      <w:r>
        <w:rPr>
          <w:rFonts w:hint="eastAsia" w:ascii="宋体" w:hAnsi="宋体" w:eastAsia="宋体" w:cs="宋体"/>
          <w:i w:val="0"/>
          <w:caps w:val="0"/>
          <w:color w:val="000000"/>
          <w:spacing w:val="0"/>
          <w:sz w:val="24"/>
          <w:szCs w:val="24"/>
          <w:shd w:val="clear" w:fill="FFFFFF"/>
        </w:rPr>
        <w:t>，或近五年以第一作者或第一通讯作者在SCI TOP期刊上发表论文7篇。</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年龄一般不超过40周岁。</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三、引进待遇</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学校为全职引进来校工作的人才提供以下待遇：</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（一）经费支持</w:t>
      </w:r>
    </w:p>
    <w:tbl>
      <w:tblPr>
        <w:tblW w:w="7882" w:type="dxa"/>
        <w:jc w:val="center"/>
        <w:tblCellSpacing w:w="0" w:type="dxa"/>
        <w:tblInd w:w="31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26"/>
        <w:gridCol w:w="1126"/>
        <w:gridCol w:w="1126"/>
        <w:gridCol w:w="1126"/>
        <w:gridCol w:w="1126"/>
        <w:gridCol w:w="1126"/>
        <w:gridCol w:w="1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616" w:hRule="atLeast"/>
          <w:tblCellSpacing w:w="0" w:type="dxa"/>
          <w:jc w:val="center"/>
        </w:trPr>
        <w:tc>
          <w:tcPr>
            <w:tcW w:w="1126" w:type="dxa"/>
            <w:vMerge w:val="restart"/>
            <w:tcBorders>
              <w:top w:val="single" w:color="auto" w:sz="4" w:space="0"/>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层次</w:t>
            </w:r>
          </w:p>
        </w:tc>
        <w:tc>
          <w:tcPr>
            <w:tcW w:w="2252" w:type="dxa"/>
            <w:gridSpan w:val="2"/>
            <w:tcBorders>
              <w:top w:val="single" w:color="auto" w:sz="4" w:space="0"/>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年薪</w:t>
            </w:r>
          </w:p>
        </w:tc>
        <w:tc>
          <w:tcPr>
            <w:tcW w:w="2252" w:type="dxa"/>
            <w:gridSpan w:val="2"/>
            <w:tcBorders>
              <w:top w:val="single" w:color="auto" w:sz="4" w:space="0"/>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安家费及购房补贴</w:t>
            </w:r>
          </w:p>
        </w:tc>
        <w:tc>
          <w:tcPr>
            <w:tcW w:w="2252" w:type="dxa"/>
            <w:gridSpan w:val="2"/>
            <w:tcBorders>
              <w:top w:val="single" w:color="auto" w:sz="4" w:space="0"/>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科研启动费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616" w:hRule="atLeast"/>
          <w:tblCellSpacing w:w="0" w:type="dxa"/>
          <w:jc w:val="center"/>
        </w:trPr>
        <w:tc>
          <w:tcPr>
            <w:tcW w:w="1126" w:type="dxa"/>
            <w:vMerge w:val="continue"/>
            <w:tcBorders>
              <w:top w:val="single" w:color="auto" w:sz="4" w:space="0"/>
              <w:left w:val="single" w:color="auto" w:sz="4" w:space="0"/>
              <w:bottom w:val="single" w:color="auto" w:sz="4" w:space="0"/>
              <w:right w:val="single" w:color="auto" w:sz="4" w:space="0"/>
            </w:tcBorders>
            <w:shd w:val="clear"/>
            <w:tcMar>
              <w:left w:w="92" w:type="dxa"/>
              <w:right w:w="92" w:type="dxa"/>
            </w:tcMar>
            <w:vAlign w:val="center"/>
          </w:tcPr>
          <w:p>
            <w:pPr>
              <w:rPr>
                <w:rFonts w:hint="eastAsia" w:ascii="Arial" w:hAnsi="Arial" w:cs="Arial"/>
                <w:sz w:val="24"/>
                <w:szCs w:val="24"/>
              </w:rPr>
            </w:pP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自然科学</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人文社科</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安家费</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购房补贴</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自然科学</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人文社科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616" w:hRule="atLeast"/>
          <w:tblCellSpacing w:w="0" w:type="dxa"/>
          <w:jc w:val="center"/>
        </w:trPr>
        <w:tc>
          <w:tcPr>
            <w:tcW w:w="1126" w:type="dxa"/>
            <w:tcBorders>
              <w:top w:val="nil"/>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第一层次</w:t>
            </w:r>
          </w:p>
        </w:tc>
        <w:tc>
          <w:tcPr>
            <w:tcW w:w="6756" w:type="dxa"/>
            <w:gridSpan w:val="6"/>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面议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616" w:hRule="atLeast"/>
          <w:tblCellSpacing w:w="0" w:type="dxa"/>
          <w:jc w:val="center"/>
        </w:trPr>
        <w:tc>
          <w:tcPr>
            <w:tcW w:w="1126" w:type="dxa"/>
            <w:tcBorders>
              <w:top w:val="nil"/>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第二层次</w:t>
            </w:r>
          </w:p>
        </w:tc>
        <w:tc>
          <w:tcPr>
            <w:tcW w:w="2252" w:type="dxa"/>
            <w:gridSpan w:val="2"/>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≧90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60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200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300-500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80-120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616" w:hRule="atLeast"/>
          <w:tblCellSpacing w:w="0" w:type="dxa"/>
          <w:jc w:val="center"/>
        </w:trPr>
        <w:tc>
          <w:tcPr>
            <w:tcW w:w="1126" w:type="dxa"/>
            <w:tcBorders>
              <w:top w:val="nil"/>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第三层次</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60-90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50-70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40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140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100-300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60-100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6" w:hRule="atLeast"/>
          <w:tblCellSpacing w:w="0" w:type="dxa"/>
          <w:jc w:val="center"/>
        </w:trPr>
        <w:tc>
          <w:tcPr>
            <w:tcW w:w="1126" w:type="dxa"/>
            <w:tcBorders>
              <w:top w:val="nil"/>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0"/>
                <w:szCs w:val="20"/>
                <w:bdr w:val="none" w:color="auto" w:sz="0" w:space="0"/>
              </w:rPr>
              <w:t>第四层次</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35-50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30-40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20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80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80-200</w:t>
            </w:r>
          </w:p>
        </w:tc>
        <w:tc>
          <w:tcPr>
            <w:tcW w:w="1126" w:type="dxa"/>
            <w:tcBorders>
              <w:top w:val="nil"/>
              <w:left w:val="nil"/>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center"/>
            </w:pPr>
            <w:r>
              <w:rPr>
                <w:rFonts w:hint="eastAsia" w:ascii="宋体" w:hAnsi="宋体" w:eastAsia="宋体" w:cs="宋体"/>
                <w:sz w:val="24"/>
                <w:szCs w:val="24"/>
                <w:bdr w:val="none" w:color="auto" w:sz="0" w:space="0"/>
              </w:rPr>
              <w:t>40-60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851" w:hRule="atLeast"/>
          <w:tblCellSpacing w:w="0" w:type="dxa"/>
          <w:jc w:val="center"/>
        </w:trPr>
        <w:tc>
          <w:tcPr>
            <w:tcW w:w="7882" w:type="dxa"/>
            <w:gridSpan w:val="7"/>
            <w:tcBorders>
              <w:top w:val="nil"/>
              <w:left w:val="single" w:color="auto" w:sz="4" w:space="0"/>
              <w:bottom w:val="single" w:color="auto" w:sz="4" w:space="0"/>
              <w:right w:val="single" w:color="auto" w:sz="4" w:space="0"/>
            </w:tcBorders>
            <w:shd w:val="clear"/>
            <w:tcMar>
              <w:left w:w="92" w:type="dxa"/>
              <w:right w:w="92" w:type="dxa"/>
            </w:tcMar>
            <w:vAlign w:val="center"/>
          </w:tcPr>
          <w:p>
            <w:pPr>
              <w:pStyle w:val="2"/>
              <w:keepNext w:val="0"/>
              <w:keepLines w:val="0"/>
              <w:widowControl/>
              <w:suppressLineNumbers w:val="0"/>
              <w:jc w:val="left"/>
            </w:pPr>
            <w:r>
              <w:rPr>
                <w:rFonts w:hint="eastAsia" w:ascii="宋体" w:hAnsi="宋体" w:eastAsia="宋体" w:cs="宋体"/>
                <w:sz w:val="20"/>
                <w:szCs w:val="20"/>
                <w:bdr w:val="none" w:color="auto" w:sz="0" w:space="0"/>
              </w:rPr>
              <w:t>备注：1.以上经费单位：万元，均为税前待遇。</w:t>
            </w:r>
          </w:p>
          <w:p>
            <w:pPr>
              <w:pStyle w:val="2"/>
              <w:keepNext w:val="0"/>
              <w:keepLines w:val="0"/>
              <w:widowControl/>
              <w:suppressLineNumbers w:val="0"/>
              <w:ind w:left="0" w:firstLine="628"/>
              <w:jc w:val="left"/>
            </w:pPr>
            <w:r>
              <w:rPr>
                <w:rFonts w:hint="default" w:ascii="仿宋_gb2312" w:hAnsi="仿宋_gb2312" w:eastAsia="仿宋_gb2312" w:cs="仿宋_gb2312"/>
                <w:sz w:val="20"/>
                <w:szCs w:val="20"/>
                <w:bdr w:val="none" w:color="auto" w:sz="0" w:space="0"/>
                <w:lang w:val="en-US"/>
              </w:rPr>
              <w:t>2.</w:t>
            </w:r>
            <w:r>
              <w:rPr>
                <w:rFonts w:hint="eastAsia" w:ascii="宋体" w:hAnsi="宋体" w:eastAsia="宋体" w:cs="宋体"/>
                <w:sz w:val="20"/>
                <w:szCs w:val="20"/>
                <w:bdr w:val="none" w:color="auto" w:sz="0" w:space="0"/>
              </w:rPr>
              <w:t>以上经费均不含入选国家、省市项目资助的经费，不含超科研任务的学校高水平成果奖励。</w:t>
            </w:r>
          </w:p>
        </w:tc>
      </w:tr>
    </w:tbl>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（二）工作和生活条件支持</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1.</w:t>
      </w:r>
      <w:r>
        <w:rPr>
          <w:rFonts w:hint="eastAsia" w:ascii="宋体" w:hAnsi="宋体" w:eastAsia="宋体" w:cs="宋体"/>
          <w:i w:val="0"/>
          <w:caps w:val="0"/>
          <w:color w:val="000000"/>
          <w:spacing w:val="0"/>
          <w:sz w:val="24"/>
          <w:szCs w:val="24"/>
          <w:shd w:val="clear" w:fill="FFFFFF"/>
        </w:rPr>
        <w:t>提供相应的办公场所、实验室和相关设备。</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2.</w:t>
      </w:r>
      <w:r>
        <w:rPr>
          <w:rFonts w:hint="eastAsia" w:ascii="宋体" w:hAnsi="宋体" w:eastAsia="宋体" w:cs="宋体"/>
          <w:i w:val="0"/>
          <w:caps w:val="0"/>
          <w:color w:val="000000"/>
          <w:spacing w:val="0"/>
          <w:sz w:val="24"/>
          <w:szCs w:val="24"/>
          <w:shd w:val="clear" w:fill="FFFFFF"/>
        </w:rPr>
        <w:t>对引进的第二、三层次人才，学校的相应学科具有博士学位授权点的，直接认定为博士生导师；推荐申报华侨大学科技创新团队和领军人才支持计划或哲学社会科学学术创新团队培育计划。对第四层次人才，符合学校研究生导师遴选条件的，推荐认定相应学科博士生导师或硕士生导师。</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3.</w:t>
      </w:r>
      <w:r>
        <w:rPr>
          <w:rFonts w:hint="eastAsia" w:ascii="宋体" w:hAnsi="宋体" w:eastAsia="宋体" w:cs="宋体"/>
          <w:i w:val="0"/>
          <w:caps w:val="0"/>
          <w:color w:val="000000"/>
          <w:spacing w:val="0"/>
          <w:sz w:val="24"/>
          <w:szCs w:val="24"/>
          <w:shd w:val="clear" w:fill="FFFFFF"/>
        </w:rPr>
        <w:t>根据学校周转房政策，未领取购房补贴前，提供学校周转房。</w:t>
      </w:r>
    </w:p>
    <w:p>
      <w:pPr>
        <w:pStyle w:val="2"/>
        <w:keepNext w:val="0"/>
        <w:keepLines w:val="0"/>
        <w:widowControl/>
        <w:suppressLineNumbers w:val="0"/>
        <w:spacing w:line="353" w:lineRule="atLeast"/>
        <w:ind w:left="0" w:firstLine="484"/>
      </w:pPr>
      <w:r>
        <w:rPr>
          <w:rFonts w:hint="default" w:ascii="仿宋_gb2312" w:hAnsi="仿宋_gb2312" w:eastAsia="仿宋_gb2312" w:cs="仿宋_gb2312"/>
          <w:i w:val="0"/>
          <w:caps w:val="0"/>
          <w:color w:val="000000"/>
          <w:spacing w:val="0"/>
          <w:sz w:val="24"/>
          <w:szCs w:val="24"/>
          <w:shd w:val="clear" w:fill="FFFFFF"/>
          <w:lang w:val="en-US"/>
        </w:rPr>
        <w:t>4.</w:t>
      </w:r>
      <w:r>
        <w:rPr>
          <w:rFonts w:hint="eastAsia" w:ascii="宋体" w:hAnsi="宋体" w:eastAsia="宋体" w:cs="宋体"/>
          <w:i w:val="0"/>
          <w:caps w:val="0"/>
          <w:color w:val="000000"/>
          <w:spacing w:val="0"/>
          <w:sz w:val="24"/>
          <w:szCs w:val="24"/>
          <w:shd w:val="clear" w:fill="FFFFFF"/>
        </w:rPr>
        <w:t>协助解决配偶工作，协助解决子女入学入园问题。</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四、应聘方式</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FF0000"/>
          <w:spacing w:val="0"/>
          <w:sz w:val="24"/>
          <w:szCs w:val="24"/>
          <w:shd w:val="clear" w:fill="FFFFFF"/>
        </w:rPr>
        <w:t>面向全球公开招聘,本招聘启事长期有效。</w:t>
      </w:r>
      <w:r>
        <w:rPr>
          <w:rFonts w:hint="eastAsia" w:ascii="宋体" w:hAnsi="宋体" w:eastAsia="宋体" w:cs="宋体"/>
          <w:i w:val="0"/>
          <w:caps w:val="0"/>
          <w:color w:val="000000"/>
          <w:spacing w:val="0"/>
          <w:sz w:val="24"/>
          <w:szCs w:val="24"/>
          <w:shd w:val="clear" w:fill="FFFFFF"/>
        </w:rPr>
        <w:t>应聘者填写</w:t>
      </w:r>
      <w:r>
        <w:rPr>
          <w:rFonts w:hint="eastAsia" w:ascii="宋体" w:hAnsi="宋体" w:eastAsia="宋体" w:cs="宋体"/>
          <w:i w:val="0"/>
          <w:caps w:val="0"/>
          <w:color w:val="000000"/>
          <w:spacing w:val="0"/>
          <w:sz w:val="20"/>
          <w:szCs w:val="20"/>
          <w:u w:val="none"/>
          <w:shd w:val="clear" w:fill="FFFFFF"/>
        </w:rPr>
        <w:fldChar w:fldCharType="begin"/>
      </w:r>
      <w:r>
        <w:rPr>
          <w:rFonts w:hint="eastAsia" w:ascii="宋体" w:hAnsi="宋体" w:eastAsia="宋体" w:cs="宋体"/>
          <w:i w:val="0"/>
          <w:caps w:val="0"/>
          <w:color w:val="000000"/>
          <w:spacing w:val="0"/>
          <w:sz w:val="20"/>
          <w:szCs w:val="20"/>
          <w:u w:val="none"/>
          <w:shd w:val="clear" w:fill="FFFFFF"/>
        </w:rPr>
        <w:instrText xml:space="preserve"> HYPERLINK "http://rsc.hqu.edu.cn/info/1039/2995.htm" \o "华侨大学引进特聘教授审批表" \t "http://rsc.hqu.edu.cn/info/1011/_blank" </w:instrText>
      </w:r>
      <w:r>
        <w:rPr>
          <w:rFonts w:hint="eastAsia" w:ascii="宋体" w:hAnsi="宋体" w:eastAsia="宋体" w:cs="宋体"/>
          <w:i w:val="0"/>
          <w:caps w:val="0"/>
          <w:color w:val="000000"/>
          <w:spacing w:val="0"/>
          <w:sz w:val="20"/>
          <w:szCs w:val="20"/>
          <w:u w:val="none"/>
          <w:shd w:val="clear" w:fill="FFFFFF"/>
        </w:rPr>
        <w:fldChar w:fldCharType="separate"/>
      </w:r>
      <w:r>
        <w:rPr>
          <w:rStyle w:val="5"/>
          <w:rFonts w:hint="eastAsia" w:ascii="宋体" w:hAnsi="宋体" w:eastAsia="宋体" w:cs="宋体"/>
          <w:i w:val="0"/>
          <w:caps w:val="0"/>
          <w:color w:val="000000"/>
          <w:spacing w:val="0"/>
          <w:sz w:val="20"/>
          <w:szCs w:val="20"/>
          <w:u w:val="none"/>
          <w:shd w:val="clear" w:fill="FFFFFF"/>
        </w:rPr>
        <w:t>《华侨大学引进特聘教授审批表》，</w:t>
      </w:r>
      <w:r>
        <w:rPr>
          <w:rFonts w:hint="eastAsia" w:ascii="宋体" w:hAnsi="宋体" w:eastAsia="宋体" w:cs="宋体"/>
          <w:i w:val="0"/>
          <w:caps w:val="0"/>
          <w:color w:val="000000"/>
          <w:spacing w:val="0"/>
          <w:sz w:val="20"/>
          <w:szCs w:val="20"/>
          <w:u w:val="none"/>
          <w:shd w:val="clear" w:fill="FFFFFF"/>
        </w:rPr>
        <w:fldChar w:fldCharType="end"/>
      </w:r>
      <w:r>
        <w:rPr>
          <w:rFonts w:hint="eastAsia" w:ascii="宋体" w:hAnsi="宋体" w:eastAsia="宋体" w:cs="宋体"/>
          <w:i w:val="0"/>
          <w:caps w:val="0"/>
          <w:color w:val="000000"/>
          <w:spacing w:val="0"/>
          <w:sz w:val="24"/>
          <w:szCs w:val="24"/>
          <w:shd w:val="clear" w:fill="FFFFFF"/>
        </w:rPr>
        <w:t>将word文档发送至华侨大学人才招聘邮箱hqursc@126.com，邮件主题请注明“姓名+应聘学科+应聘岗位层次”。</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五、联系方式</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联 系 人：洪老师、王老师</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联系电话：86-592-6161099、86-595-22692370</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联系邮箱：hqursc@126.com</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厦门校区：福建省厦门市集美区集美大道668号</w:t>
      </w:r>
    </w:p>
    <w:p>
      <w:pPr>
        <w:pStyle w:val="2"/>
        <w:keepNext w:val="0"/>
        <w:keepLines w:val="0"/>
        <w:widowControl/>
        <w:suppressLineNumbers w:val="0"/>
        <w:spacing w:line="353" w:lineRule="atLeast"/>
        <w:ind w:left="0" w:firstLine="484"/>
      </w:pPr>
      <w:r>
        <w:rPr>
          <w:rFonts w:hint="eastAsia" w:ascii="宋体" w:hAnsi="宋体" w:eastAsia="宋体" w:cs="宋体"/>
          <w:i w:val="0"/>
          <w:caps w:val="0"/>
          <w:color w:val="000000"/>
          <w:spacing w:val="0"/>
          <w:sz w:val="24"/>
          <w:szCs w:val="24"/>
          <w:shd w:val="clear" w:fill="FFFFFF"/>
        </w:rPr>
        <w:t>泉州校区：福建省泉州市丰泽区城华北路269号</w:t>
      </w:r>
    </w:p>
    <w:p>
      <w:pPr>
        <w:keepNext w:val="0"/>
        <w:keepLines w:val="0"/>
        <w:widowControl/>
        <w:numPr>
          <w:ilvl w:val="0"/>
          <w:numId w:val="1"/>
        </w:numPr>
        <w:suppressLineNumbers w:val="0"/>
        <w:pBdr>
          <w:bottom w:val="double" w:color="auto" w:sz="4" w:space="0"/>
        </w:pBdr>
        <w:spacing w:before="0" w:beforeAutospacing="1" w:after="0" w:afterAutospacing="1"/>
        <w:ind w:left="720" w:hanging="360"/>
      </w:pPr>
      <w:r>
        <w:rPr>
          <w:rFonts w:hint="default" w:ascii="Arial" w:hAnsi="Arial" w:cs="Arial"/>
          <w:i w:val="0"/>
          <w:caps w:val="0"/>
          <w:color w:val="000000"/>
          <w:spacing w:val="0"/>
          <w:sz w:val="13"/>
          <w:szCs w:val="13"/>
          <w:shd w:val="clear" w:fill="FFFFFF"/>
        </w:rPr>
        <w:t>附件【</w:t>
      </w:r>
      <w:r>
        <w:rPr>
          <w:rFonts w:hint="default" w:ascii="Arial" w:hAnsi="Arial" w:cs="Arial"/>
          <w:i w:val="0"/>
          <w:caps w:val="0"/>
          <w:color w:val="000000"/>
          <w:spacing w:val="0"/>
          <w:sz w:val="20"/>
          <w:szCs w:val="20"/>
          <w:u w:val="none"/>
          <w:shd w:val="clear" w:fill="FFFFFF"/>
        </w:rPr>
        <w:fldChar w:fldCharType="begin"/>
      </w:r>
      <w:r>
        <w:rPr>
          <w:rFonts w:hint="default" w:ascii="Arial" w:hAnsi="Arial" w:cs="Arial"/>
          <w:i w:val="0"/>
          <w:caps w:val="0"/>
          <w:color w:val="000000"/>
          <w:spacing w:val="0"/>
          <w:sz w:val="20"/>
          <w:szCs w:val="20"/>
          <w:u w:val="none"/>
          <w:shd w:val="clear" w:fill="FFFFFF"/>
        </w:rPr>
        <w:instrText xml:space="preserve"> HYPERLINK "http://rsc.hqu.edu.cn/system/_content/download.jsp?urltype=news.DownloadAttachUrl&amp;owner=1300620032&amp;wbfileid=3006753" \t "http://rsc.hqu.edu.cn/info/1011/_blank" </w:instrText>
      </w:r>
      <w:r>
        <w:rPr>
          <w:rFonts w:hint="default" w:ascii="Arial" w:hAnsi="Arial" w:cs="Arial"/>
          <w:i w:val="0"/>
          <w:caps w:val="0"/>
          <w:color w:val="000000"/>
          <w:spacing w:val="0"/>
          <w:sz w:val="20"/>
          <w:szCs w:val="20"/>
          <w:u w:val="none"/>
          <w:shd w:val="clear" w:fill="FFFFFF"/>
        </w:rPr>
        <w:fldChar w:fldCharType="separate"/>
      </w:r>
      <w:r>
        <w:rPr>
          <w:rStyle w:val="5"/>
          <w:rFonts w:hint="default" w:ascii="Arial" w:hAnsi="Arial" w:cs="Arial"/>
          <w:i w:val="0"/>
          <w:caps w:val="0"/>
          <w:color w:val="000000"/>
          <w:spacing w:val="0"/>
          <w:sz w:val="20"/>
          <w:szCs w:val="20"/>
          <w:u w:val="none"/>
          <w:shd w:val="clear" w:fill="FFFFFF"/>
        </w:rPr>
        <w:t>华侨大学引进特聘教授审批表（2018年修订版）.doc</w:t>
      </w:r>
      <w:r>
        <w:rPr>
          <w:rFonts w:hint="default" w:ascii="Arial" w:hAnsi="Arial" w:cs="Arial"/>
          <w:i w:val="0"/>
          <w:caps w:val="0"/>
          <w:color w:val="000000"/>
          <w:spacing w:val="0"/>
          <w:sz w:val="20"/>
          <w:szCs w:val="20"/>
          <w:u w:val="none"/>
          <w:shd w:val="clear" w:fill="FFFFFF"/>
        </w:rPr>
        <w:fldChar w:fldCharType="end"/>
      </w:r>
      <w:r>
        <w:rPr>
          <w:rFonts w:hint="default" w:ascii="Arial" w:hAnsi="Arial" w:cs="Arial"/>
          <w:i w:val="0"/>
          <w:caps w:val="0"/>
          <w:color w:val="000000"/>
          <w:spacing w:val="0"/>
          <w:sz w:val="13"/>
          <w:szCs w:val="13"/>
          <w:shd w:val="clear" w:fill="FFFFFF"/>
        </w:rPr>
        <w:t>】已下载157次</w:t>
      </w:r>
    </w:p>
    <w:p>
      <w:pPr>
        <w:rPr>
          <w:rFonts w:hint="eastAsia"/>
          <w:lang w:val="en-US" w:eastAsia="zh-CN"/>
        </w:rPr>
      </w:pPr>
    </w:p>
    <w:p>
      <w:pPr>
        <w:rPr>
          <w:rFonts w:hint="default"/>
          <w:lang w:val="en-US" w:eastAsia="zh-CN"/>
        </w:rPr>
      </w:pPr>
      <w:r>
        <w:rPr>
          <w:rFonts w:hint="eastAsia" w:ascii="微软雅黑" w:hAnsi="微软雅黑" w:eastAsia="微软雅黑" w:cs="微软雅黑"/>
          <w:i w:val="0"/>
          <w:caps w:val="0"/>
          <w:color w:val="333333"/>
          <w:spacing w:val="0"/>
          <w:sz w:val="20"/>
          <w:szCs w:val="20"/>
          <w:shd w:val="clear" w:fill="FFFFFF"/>
        </w:rPr>
        <w:t>　为给“青年千人计划”入选者提供必要的科研条件，使他们潜心开展科研工作，由中央财政给予“青年千人计划”入选者每人50万元的生活补助、3年100万~300万元的科研经费补助；其他工作条件和生活待遇，参照“千人计划”现有政策执行。该负责人介绍说，“青年千人计划”的申报对象，目前主要面向自然科学或工程技术领域、年龄不超过40周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方正小标宋简体">
    <w:altName w:val="方正舒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4E87"/>
    <w:multiLevelType w:val="multilevel"/>
    <w:tmpl w:val="58A94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001BC"/>
    <w:rsid w:val="5BD4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2019-03-13T08:22:47Z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