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73482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学习成绩优秀，本科前5学期总评成绩排名在该校同年级本专业或学院前20%（综合条件突出者除外）；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◆ 较强的英语听说读写能力。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5"/>
          <w:szCs w:val="15"/>
          <w:shd w:val="clear" w:fill="CDE4E8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5"/>
          <w:szCs w:val="15"/>
          <w:shd w:val="clear" w:fill="CDE4E8"/>
        </w:rPr>
        <w:t>硕士及博士阶段学费全奖学金覆盖，学校和学院同时提供高额奖/助学金，以保证在读期间的学习和生活；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5"/>
          <w:szCs w:val="15"/>
          <w:shd w:val="clear" w:fill="CDE4E8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5"/>
          <w:szCs w:val="15"/>
          <w:shd w:val="clear" w:fill="CDE4E8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5"/>
          <w:szCs w:val="15"/>
          <w:shd w:val="clear" w:fill="CDE4E8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5"/>
          <w:szCs w:val="15"/>
          <w:shd w:val="clear" w:fill="CDE4E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5"/>
          <w:szCs w:val="15"/>
          <w:shd w:val="clear" w:fill="CDE4E8"/>
          <w:lang w:val="en-US" w:eastAsia="zh-CN"/>
        </w:rPr>
        <w:t>金融专硕：</w:t>
      </w:r>
    </w:p>
    <w:tbl>
      <w:tblPr>
        <w:tblW w:w="8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CDE4E8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bdr w:val="none" w:color="auto" w:sz="0" w:space="0"/>
              </w:rPr>
              <w:t>◆ 毕业后将获得</w:t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bdr w:val="none" w:color="auto" w:sz="0" w:space="0"/>
              </w:rPr>
              <w:t>复旦大学双证和普林斯顿、UCLA学习证明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bdr w:val="none" w:color="auto" w:sz="0" w:space="0"/>
              </w:rPr>
              <w:t>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bdr w:val="none" w:color="auto" w:sz="0" w:space="0"/>
              </w:rPr>
              <w:t>◆ 学费16.8万/两年；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bdr w:val="none" w:color="auto" w:sz="0" w:space="0"/>
              </w:rPr>
              <w:t>◆ 60%学生可获新生奖学金（首年）和综合奖学金（次年）。</w:t>
            </w:r>
          </w:p>
        </w:tc>
      </w:tr>
    </w:tbl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5"/>
          <w:szCs w:val="15"/>
          <w:shd w:val="clear" w:fill="CDE4E8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5"/>
          <w:szCs w:val="15"/>
          <w:shd w:val="clear" w:fill="CDE4E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B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2019-03-03T01:13:43Z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