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从人类放弃采集生活，围着麦田选择定居生活的那个时间点开始，智人同时也走上脱离自然的不归路。从此，人类社会和自然生态便是割裂开的两套系统，我们再无法回归山野丛林了。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兴来每独往，胜事空自知。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兴致来了，就独自一人前往欣赏这美丽的景色，这种美好的事只能自得其乐。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行到水穷处，坐看云起时。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随意而行，不知不觉，竟走到流水的尽头，看是无路可走了，于是索性就地坐下来，看那悠闲无心的云兴起漂游。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当我们身处现代社会当中，我们需要理性地生活，猜真伪做判断，甚至伪装自己。但即便这样善于理性思考，我们仍然看不透那个高度虚拟化的世界，一叶障目不见泰山的事情数不胜数。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当我们来到山水之间，情况就完全不一样了。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你看见了山，山就在那里，你爬上山头，你就能感觉到它，或是连绵起伏，或者巍峨挺拔。虽千奇百怪，却都真实可感。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每一个登山者，也完全可以卸下身份和包装，就像回家一样，做一个真正的自己。每一个人都是天地之间的一个生物，甚至与花花草草、飞鸟走兽也不过都是平等的生命。这样的环境下，心情是完全放松的，心理上也是没有丝毫防备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70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2019-02-16T16:10:07Z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