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</w:pPr>
      <w: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  <w:t>团队重视科研成果的实效性，关注如何构建实用工具与系统，已发布多个开源软件，并在华为、天玑、腾讯等企业得到应用。</w:t>
      </w:r>
    </w:p>
    <w:p>
      <w:pP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</w:pPr>
    </w:p>
    <w:p>
      <w:pP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</w:pPr>
      <w: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  <w:t>云端融合计算实验室关注云计算、移动计算、人工智能计算、大数据分析等新型计算系统与架构下，软件构造、应用需求、软件运行情境等对软件性能、易用性、可靠性、安全性等的影响，以软件工程等技术手段解决软件性能、易用性、可靠性、安全性的保障与提升。</w:t>
      </w:r>
    </w:p>
    <w:p>
      <w:pP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</w:pPr>
    </w:p>
    <w:p>
      <w:pPr>
        <w:rPr>
          <w:rFonts w:ascii="Arial" w:hAnsi="Arial" w:eastAsia="宋体" w:cs="Arial"/>
          <w:i w:val="0"/>
          <w:caps w:val="0"/>
          <w:color w:val="FFFFFF"/>
          <w:spacing w:val="0"/>
          <w:sz w:val="26"/>
          <w:szCs w:val="26"/>
          <w:shd w:val="clear" w:fill="619EC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2019-05-14T12:19:09Z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