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盯着屏幕上一整晚上就写了可怜巴巴的几句话，眼皮坠地又不甘放弃。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审稿人发表对文章的意见，建议接受与否，编辑具有决定的权利，它们通常参考审稿人的意见，但是也有例外，如果他们认为文章很重要，也可以完全不参考审稿人的意见，决定文章的发表，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不过这样的例子较少，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编辑  可以选择nice的审稿人，也可以选择。。。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而且编辑作决定的时候可以不参考审稿人的意见，我的一篇文章就是2个审稿人都同意录用，编辑还是给拒了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文献计量类论文的保鲜期很短，拖得时间越长，投中的可能性越低。编辑很可能要求把数据更新至14年，即面临大修。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科研需要持久的耐力，层层推进，形成一种惯性。起初我们结组做文献计量好比埋下一颗种子，发表SCI的过程就是培育这颗种子开花结果，我们要把握它的生长规律，悉心施肥灌溉。我们这一代成长于毕其功于一役的考试文化中，上大学后习惯考前突击，这与科研模式格格不入，所以参与科研时要把学习态度和方式调整到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科生参与科研，眼光不要局限于技法层面或发表成果什么的，而应把重点放到科研素养的培育，这好比鱼与渔的关系。比如近年来做文献计量的神器层出不穷，分析方式也是花样翻新，我们当初绞尽脑汁用Excel折腾出的结果，PubMed旗下的工具网站点点鼠标技能轻松搞定，而且画出的图更高大上。我们掌握的Excel操作技能很快会被淘汰，但此间提供了诸多机会可用以培养严谨的学术精神、与伙伴和老师交流探讨的习惯、独立思考并解决问题能力、大数据思维等，这些才会让我们长期受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复旦本科女三年发表12篇SCI文章 将直接跳博士,先后在国际权威期刊发表SCI论文12篇，最近三年平均影响因子(IF)总和达27.21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复旦大学计算机科学技术学院大四女生林苑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SCI是美国《科学引文索引》的简称（Science Citation Index）。发表SCI论文的多少和被引用率高低，是国际上通用的评价基础研究成果水平的标准。影响因子是指某一期刊的文章在特定年份或时期被引用的频率，是衡量学术期刊影响力的一个重要指标。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只有真正经历过，才知道科研的实质是什么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看什么专业了，如果你是学材料、化学、生物、医学啥的，水几篇sci很容易。。。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如果你是学数学、理论物理啥的，你能发一篇别太渣的sci绝对大神。。。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1看是几区，二区及以上溜哭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2看是第几作者。其实本科发一般都混不到第一作者的。。导师占主导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3认识个忒没品的直博猪，本科打关系混资历硬生生跟着蹭了好几波sci第二作者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4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JCR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，Journal Citation Reports，期刊引证报告，汤森路透社每年对SCI收录的期刊进行引用和被引用数据进行统计计算，并以影响因子等指数加以报道形成的报告，用来评价期刊的质量。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分区就是为了体现学科之间的公平，因为学科有大小之分，像生物、医学这种发现新东西的学科很容易出现高影响因子期刊，而一些学科比如天文、社会等学类不仅期刊少，影响因子也不高。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汤森路透分区也就是常说的JCR分区，Journal ranking，相对比较简单，根据当年影响因子从高到低排序，等分成4等分，排名在前25%是1区，记作Q1；25-50%是2区，记作Q2；50-75%是3区，记作Q3；75%以后的属于4区，Q4。JCR分区可以从web of science进行查询，看期刊具体分区情况。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而国内用的更多的是中科院期刊分区，是基于科学计量学方法的期刊评价数据，是中国科学院文献情报中心科学计量中心在汤森路透JCR分区的基础上，选择学术影响力作为划分方式，把每个学科的所有期刊按照学术影响力（3年平均IF）由高到底降序排列，依次划分为4个区，使得每个分区期刊影响力总和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72" w:beforeAutospacing="0" w:after="472" w:afterAutospacing="0" w:line="34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中国科学院SCI分区法：中国科学院文献情报中心根据每年的JCR数据，将学科分为14个大类和174个小类。每个学科分类按照期刊的影响因子高低，分为4四个区：各学科分类中影响因子前5%(含5%)期刊划分为1区；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72" w:beforeAutospacing="0" w:after="472" w:afterAutospacing="0" w:line="34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各学科分类中影响因子位于学科中总刊数的前5-20%(含20%)为2区；各学科分类中影响因子位于学科中总刊数的前20-50%(含50%)为3区；各学科分类中影响因子位于学科中总刊数的后50%为4区；存在没有进入四个分区的SCI收录期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instrText xml:space="preserve"> HYPERLINK "http://www.letpub.com.cn/index.php?page=journalapp&amp;view=detail&amp;journalid=10007&amp;currentcommentpage=0"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http://www.letpub.com.cn/index.php?page=journalapp&amp;view=detail&amp;journalid=10007&amp;currentcommentpage=0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  <w:t>rontier in neurorobotics  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72405" cy="174053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极端情况下，有一些文章会被当做反例被引用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230" cy="151130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44B31"/>
    <w:rsid w:val="55B74B0A"/>
    <w:rsid w:val="6ADD7E67"/>
    <w:rsid w:val="6C2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2019-02-13T16:29:47Z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