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"http://rrc.cvc.uab.es/"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http://rrc.cvc.uab.es/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3040" cy="2925445"/>
            <wp:effectExtent l="0" t="0" r="1016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5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352298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2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楷体" w:hAnsi="楷体" w:eastAsia="楷体" w:cs="楷体"/>
          <w:i w:val="0"/>
          <w:caps w:val="0"/>
          <w:color w:val="555555"/>
          <w:spacing w:val="0"/>
          <w:sz w:val="20"/>
          <w:szCs w:val="20"/>
          <w:shd w:val="clear" w:fill="F8F8F8"/>
        </w:rPr>
      </w:pPr>
      <w:r>
        <w:rPr>
          <w:rFonts w:hint="eastAsia" w:ascii="楷体" w:hAnsi="楷体" w:eastAsia="楷体" w:cs="楷体"/>
          <w:i w:val="0"/>
          <w:caps w:val="0"/>
          <w:color w:val="555555"/>
          <w:spacing w:val="0"/>
          <w:sz w:val="20"/>
          <w:szCs w:val="20"/>
          <w:shd w:val="clear" w:fill="F8F8F8"/>
        </w:rPr>
        <w:t xml:space="preserve">ICDAR is a very successful and flagship </w:t>
      </w:r>
      <w:r>
        <w:rPr>
          <w:rFonts w:hint="eastAsia" w:ascii="楷体" w:hAnsi="楷体" w:eastAsia="楷体" w:cs="楷体"/>
          <w:i w:val="0"/>
          <w:caps w:val="0"/>
          <w:color w:val="555555"/>
          <w:spacing w:val="0"/>
          <w:sz w:val="20"/>
          <w:szCs w:val="20"/>
          <w:u w:val="single"/>
          <w:shd w:val="clear" w:fill="F8F8F8"/>
        </w:rPr>
        <w:t>conference series</w:t>
      </w:r>
      <w:r>
        <w:rPr>
          <w:rFonts w:hint="eastAsia" w:ascii="楷体" w:hAnsi="楷体" w:eastAsia="楷体" w:cs="楷体"/>
          <w:i w:val="0"/>
          <w:caps w:val="0"/>
          <w:color w:val="555555"/>
          <w:spacing w:val="0"/>
          <w:sz w:val="20"/>
          <w:szCs w:val="20"/>
          <w:shd w:val="clear" w:fill="F8F8F8"/>
        </w:rPr>
        <w:t>, which is the biggest and premier international gathering for researchers, scientist and practitioners in the document analysis community. The conference is endorsed by IAPR-TC 10/11 and it was established nearly three decades ago. The 15th International Conference on Document Analysis and Recognition (ICDAR 2019) </w:t>
      </w:r>
    </w:p>
    <w:p>
      <w:pPr>
        <w:rPr>
          <w:rFonts w:hint="default" w:ascii="sans-serif" w:hAnsi="sans-serif" w:eastAsia="sans-serif" w:cs="sans-serif"/>
          <w:i w:val="0"/>
          <w:caps w:val="0"/>
          <w:color w:val="555555"/>
          <w:spacing w:val="0"/>
          <w:sz w:val="20"/>
          <w:szCs w:val="20"/>
          <w:shd w:val="clear" w:fill="F8F8F8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所属学科：计算机科学理论，信号与信息处理，电子工程，图书馆、情报与档案管理，外国语言文学、人工智能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在OCR识别领域最具权威的ICDAR数据集挑战中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25060" cy="2671445"/>
            <wp:effectExtent l="0" t="0" r="11430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2671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5270500" cy="1206500"/>
            <wp:effectExtent l="0" t="0" r="1270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根据图片信息进行作答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歪曲字符识别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中文字符识别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159125" cy="1903730"/>
            <wp:effectExtent l="0" t="0" r="1079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1903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31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7"/>
          <w:szCs w:val="17"/>
          <w:shd w:val="clear" w:fill="FFFFFF"/>
        </w:rPr>
        <w:t>Registration open: February 10 – March 31, 2019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31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7"/>
          <w:szCs w:val="17"/>
          <w:shd w:val="clear" w:fill="FFFFFF"/>
        </w:rPr>
        <w:t>Training/validation dataset available: March 1, 2019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31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7"/>
          <w:szCs w:val="17"/>
          <w:shd w:val="clear" w:fill="FFFFFF"/>
        </w:rPr>
        <w:t>Submission open: April 15, 2019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31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7"/>
          <w:szCs w:val="17"/>
          <w:shd w:val="clear" w:fill="FFFFFF"/>
        </w:rPr>
        <w:t>Deadline for Competition participants: April 30, 2019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1857375"/>
            <wp:effectExtent l="0" t="0" r="152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ascii="PingFangTC-light" w:hAnsi="PingFangTC-light" w:eastAsia="PingFangTC-light" w:cs="PingFangTC-light"/>
          <w:i w:val="0"/>
          <w:caps w:val="0"/>
          <w:color w:val="333333"/>
          <w:spacing w:val="13"/>
          <w:sz w:val="19"/>
          <w:szCs w:val="19"/>
          <w:shd w:val="clear" w:fill="FFFFFF"/>
        </w:rPr>
      </w:pPr>
      <w:r>
        <w:rPr>
          <w:rFonts w:ascii="PingFangTC-light" w:hAnsi="PingFangTC-light" w:eastAsia="PingFangTC-light" w:cs="PingFangTC-light"/>
          <w:i w:val="0"/>
          <w:caps w:val="0"/>
          <w:color w:val="333333"/>
          <w:spacing w:val="13"/>
          <w:sz w:val="19"/>
          <w:szCs w:val="19"/>
          <w:shd w:val="clear" w:fill="FFFFFF"/>
        </w:rPr>
        <w:t>ICDAR（International conference on Document Analysis and Recognition）是全球文档图像分析识别领域公认的权威学术会议，从1991年起每两年召开一次。</w:t>
      </w:r>
    </w:p>
    <w:p>
      <w:pPr>
        <w:rPr>
          <w:rFonts w:ascii="PingFangTC-light" w:hAnsi="PingFangTC-light" w:eastAsia="PingFangTC-light" w:cs="PingFangTC-light"/>
          <w:i w:val="0"/>
          <w:caps w:val="0"/>
          <w:color w:val="333333"/>
          <w:spacing w:val="13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05" w:right="105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Fonts w:ascii="PingFangTC-light" w:hAnsi="PingFangTC-light" w:eastAsia="PingFangTC-light" w:cs="PingFangTC-light"/>
          <w:i w:val="0"/>
          <w:caps w:val="0"/>
          <w:color w:val="333333"/>
          <w:spacing w:val="13"/>
          <w:sz w:val="19"/>
          <w:szCs w:val="19"/>
          <w:shd w:val="clear" w:fill="FFFFFF"/>
        </w:rPr>
        <w:t>2019年2月21日 - 3月31日：注册通道开放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05" w:right="105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Fonts w:hint="default" w:ascii="PingFangTC-light" w:hAnsi="PingFangTC-light" w:eastAsia="PingFangTC-light" w:cs="PingFangTC-light"/>
          <w:i w:val="0"/>
          <w:caps w:val="0"/>
          <w:color w:val="333333"/>
          <w:spacing w:val="13"/>
          <w:sz w:val="19"/>
          <w:szCs w:val="19"/>
          <w:shd w:val="clear" w:fill="FFFFFF"/>
        </w:rPr>
        <w:t>2019年3月1日：训练集开放下载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05" w:right="105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Fonts w:hint="default" w:ascii="PingFangTC-light" w:hAnsi="PingFangTC-light" w:eastAsia="PingFangTC-light" w:cs="PingFangTC-light"/>
          <w:i w:val="0"/>
          <w:caps w:val="0"/>
          <w:color w:val="333333"/>
          <w:spacing w:val="13"/>
          <w:sz w:val="19"/>
          <w:szCs w:val="19"/>
          <w:shd w:val="clear" w:fill="FFFFFF"/>
        </w:rPr>
        <w:t>2019年4月9日：提交开始时间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05" w:right="105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Fonts w:hint="default" w:ascii="PingFangTC-light" w:hAnsi="PingFangTC-light" w:eastAsia="PingFangTC-light" w:cs="PingFangTC-light"/>
          <w:i w:val="0"/>
          <w:caps w:val="0"/>
          <w:color w:val="333333"/>
          <w:spacing w:val="13"/>
          <w:sz w:val="19"/>
          <w:szCs w:val="19"/>
          <w:shd w:val="clear" w:fill="FFFFFF"/>
        </w:rPr>
        <w:t>2019年4月30日：提交截止时间</w:t>
      </w:r>
    </w:p>
    <w:p>
      <w:pPr>
        <w:rPr>
          <w:rFonts w:hint="eastAsia" w:ascii="PingFangTC-light" w:hAnsi="PingFangTC-light" w:eastAsia="宋体" w:cs="PingFangTC-light"/>
          <w:i w:val="0"/>
          <w:caps w:val="0"/>
          <w:color w:val="333333"/>
          <w:spacing w:val="13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262" w:beforeAutospacing="0" w:after="131" w:afterAutospacing="0" w:line="14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9"/>
          <w:szCs w:val="3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9"/>
          <w:szCs w:val="39"/>
        </w:rPr>
        <w:t>Scene Text Visual Question Answering</w:t>
      </w:r>
    </w:p>
    <w:p>
      <w:pPr>
        <w:rPr>
          <w:rFonts w:hint="eastAsia" w:ascii="PingFangTC-light" w:hAnsi="PingFangTC-light" w:eastAsia="宋体" w:cs="PingFangTC-light"/>
          <w:i w:val="0"/>
          <w:caps w:val="0"/>
          <w:color w:val="333333"/>
          <w:spacing w:val="13"/>
          <w:sz w:val="19"/>
          <w:szCs w:val="19"/>
          <w:shd w:val="clear" w:fill="FFFFFF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7"/>
          <w:szCs w:val="17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7"/>
          <w:szCs w:val="17"/>
          <w:shd w:val="clear" w:fill="FFFFFF"/>
        </w:rPr>
        <w:t>The ICDAR 2019 Robust Reading Challenge on Scene Text Visual Question Answering, focuses on a specific type of Visual Question Answering task, where understanding the textual information in a scene is necessary in order to give an answer.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7"/>
          <w:szCs w:val="17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7"/>
          <w:szCs w:val="17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7"/>
          <w:szCs w:val="17"/>
          <w:shd w:val="clear" w:fill="FFFFFF"/>
          <w:lang w:val="en-US" w:eastAsia="zh-CN"/>
        </w:rPr>
        <w:t>局限性：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7"/>
          <w:szCs w:val="17"/>
          <w:shd w:val="clear" w:fill="FFFFFF"/>
        </w:rPr>
        <w:t>Current automated scene interpretation models such as visual question answering ones, present serious limitations as they disregard scene text content.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7"/>
          <w:szCs w:val="1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262" w:beforeAutospacing="0" w:after="131" w:afterAutospacing="0" w:line="1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9"/>
          <w:szCs w:val="3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9"/>
          <w:szCs w:val="39"/>
        </w:rPr>
        <w:t>Scene Text Visual Question Answering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9"/>
          <w:szCs w:val="39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9"/>
          <w:szCs w:val="39"/>
          <w:lang w:val="en-US" w:eastAsia="zh-CN"/>
        </w:rPr>
        <w:t>ST-VQA</w:t>
      </w:r>
    </w:p>
    <w:p>
      <w:pPr>
        <w:pBdr>
          <w:bottom w:val="double" w:color="auto" w:sz="4" w:space="0"/>
        </w:pBd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9"/>
          <w:szCs w:val="39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39"/>
          <w:szCs w:val="39"/>
          <w:lang w:val="en-US" w:eastAsia="zh-CN"/>
        </w:rPr>
        <w:t>V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9"/>
          <w:szCs w:val="39"/>
          <w:lang w:val="en-US" w:eastAsia="zh-CN"/>
        </w:rPr>
        <w:t>isual question answering (VQA) 视觉问答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9"/>
          <w:szCs w:val="39"/>
          <w:lang w:val="en-US" w:eastAsia="zh-CN"/>
        </w:rPr>
      </w:pPr>
    </w:p>
    <w:p>
      <w:r>
        <w:drawing>
          <wp:inline distT="0" distB="0" distL="114300" distR="114300">
            <wp:extent cx="4754880" cy="2950845"/>
            <wp:effectExtent l="0" t="0" r="0" b="444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95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655185" cy="1355090"/>
            <wp:effectExtent l="0" t="0" r="635" b="1524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5185" cy="135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86400" cy="4229100"/>
            <wp:effectExtent l="0" t="0" r="11430" b="13970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RRPN模型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基于旋转区域候选网络（RRPN, Rotation Region Proposal Networks）的方案，将旋转因素并入经典区域候选网络（如Faster RCNN）。这种方案中，一个文本区域的ground truth被表示为具有5元组(x,y,h,w,θ)的旋转边框, 坐标(x,y)表示边框的几何中心, 高度h设定为边框的短边，宽度w为长边，方向是长边的方向。训练时，首先生成含有文本方向角的倾斜候选框，然后在边框回归过程中学习文本方向角。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9"/>
          <w:szCs w:val="39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Feature Pyramid Network (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FPN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)则是一种精心设计的多尺度检测方法，下面就开始简要介绍FPN。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FPN结构中包括自下而上，自上而下和横向连接三个部分，如下图所示。这种结构可以将各个层级的特征进行融合，使其同时具有强语义信息和强空间信息，在特征学习中算是一把利器了。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9"/>
          <w:szCs w:val="39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9"/>
          <w:szCs w:val="39"/>
          <w:lang w:val="en-US" w:eastAsia="zh-CN"/>
        </w:rPr>
        <w:t>ICDAR   一共有6个比赛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9"/>
          <w:szCs w:val="39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9"/>
          <w:szCs w:val="39"/>
          <w:lang w:val="en-US" w:eastAsia="zh-CN"/>
        </w:rPr>
        <w:t>MLT可能会包含十几种语言，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9"/>
          <w:szCs w:val="39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9"/>
          <w:szCs w:val="39"/>
          <w:lang w:val="en-US" w:eastAsia="zh-CN"/>
        </w:rPr>
        <w:t>弱标注：标注信息不全，然后要用机器学习算法定位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9"/>
          <w:szCs w:val="39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9"/>
          <w:szCs w:val="39"/>
          <w:lang w:val="en-US" w:eastAsia="zh-CN"/>
        </w:rPr>
        <w:t>参加了之后，成绩很烂还不如不参加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9"/>
          <w:szCs w:val="39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9"/>
          <w:szCs w:val="39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9"/>
          <w:szCs w:val="39"/>
          <w:lang w:val="en-US" w:eastAsia="zh-CN"/>
        </w:rPr>
        <w:t>VQA 挑战失败    没法毕业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9"/>
          <w:szCs w:val="39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9"/>
          <w:szCs w:val="39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9"/>
          <w:szCs w:val="39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9"/>
          <w:szCs w:val="39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9"/>
          <w:szCs w:val="39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9"/>
          <w:szCs w:val="39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9"/>
          <w:szCs w:val="39"/>
          <w:lang w:val="en-US" w:eastAsia="zh-CN"/>
        </w:rPr>
      </w:pPr>
    </w:p>
    <w:p>
      <w:pPr>
        <w:pBdr>
          <w:bottom w:val="double" w:color="auto" w:sz="4" w:space="0"/>
        </w:pBd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9"/>
          <w:szCs w:val="39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9"/>
          <w:szCs w:val="39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9"/>
          <w:szCs w:val="39"/>
          <w:lang w:val="en-US" w:eastAsia="zh-CN"/>
        </w:rPr>
        <w:t>识别(cnn底层</w:t>
      </w:r>
      <w:bookmarkStart w:id="0" w:name="_GoBack"/>
      <w:bookmarkEnd w:id="0"/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9"/>
          <w:szCs w:val="39"/>
          <w:lang w:val="en-US" w:eastAsia="zh-CN"/>
        </w:rPr>
        <w:t>)、检测（yolo rcnn）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9"/>
          <w:szCs w:val="39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7"/>
          <w:szCs w:val="17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T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F362BD"/>
    <w:multiLevelType w:val="singleLevel"/>
    <w:tmpl w:val="D5F362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61718"/>
    <w:rsid w:val="23BF1F7E"/>
    <w:rsid w:val="3B6E2067"/>
    <w:rsid w:val="3B84623C"/>
    <w:rsid w:val="3C952CA7"/>
    <w:rsid w:val="51A92EF6"/>
    <w:rsid w:val="6D482A8E"/>
    <w:rsid w:val="6FF17C9A"/>
    <w:rsid w:val="713502B9"/>
    <w:rsid w:val="71E441A5"/>
    <w:rsid w:val="76CD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2019-02-27T12:38:55Z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