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both"/>
        <w:rPr>
          <w:rFonts w:ascii="Microsoft YaHei UI" w:hAnsi="Microsoft YaHei UI" w:eastAsia="Microsoft YaHei UI" w:cs="Microsoft YaHei UI"/>
          <w:i w:val="0"/>
          <w:caps w:val="0"/>
          <w:color w:val="333333"/>
          <w:spacing w:val="7"/>
          <w:sz w:val="18"/>
          <w:szCs w:val="18"/>
        </w:rPr>
      </w:pPr>
      <w:r>
        <w:rPr>
          <w:rStyle w:val="5"/>
          <w:rFonts w:hint="eastAsia" w:ascii="Microsoft YaHei UI" w:hAnsi="Microsoft YaHei UI" w:eastAsia="Microsoft YaHei UI" w:cs="Microsoft YaHei UI"/>
          <w:i w:val="0"/>
          <w:caps w:val="0"/>
          <w:color w:val="333333"/>
          <w:spacing w:val="7"/>
          <w:sz w:val="18"/>
          <w:szCs w:val="18"/>
          <w:bdr w:val="none" w:color="auto" w:sz="0" w:space="0"/>
          <w:shd w:val="clear" w:fill="F5F5F5"/>
        </w:rPr>
        <w:t>（二）本人及父亲或母亲或法定监护人户籍地在实施区域的农村，本人具有当地连续3年以上户籍；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18"/>
          <w:szCs w:val="18"/>
        </w:rPr>
      </w:pPr>
      <w:r>
        <w:rPr>
          <w:rStyle w:val="5"/>
          <w:rFonts w:hint="eastAsia" w:ascii="Microsoft YaHei UI" w:hAnsi="Microsoft YaHei UI" w:eastAsia="Microsoft YaHei UI" w:cs="Microsoft YaHei UI"/>
          <w:i w:val="0"/>
          <w:caps w:val="0"/>
          <w:color w:val="333333"/>
          <w:spacing w:val="7"/>
          <w:sz w:val="18"/>
          <w:szCs w:val="18"/>
          <w:bdr w:val="none" w:color="auto" w:sz="0" w:space="0"/>
          <w:shd w:val="clear" w:fill="F5F5F5"/>
        </w:rPr>
        <w:t>（三）本人具有户籍所在县高中连续3年学籍并实际就读。</w:t>
      </w:r>
    </w:p>
    <w:p/>
    <w:p>
      <w:pPr>
        <w:rPr>
          <w:rFonts w:hint="eastAsia" w:ascii="Microsoft YaHei UI" w:hAnsi="Microsoft YaHei UI" w:eastAsia="Microsoft YaHei UI" w:cs="Microsoft YaHei UI"/>
          <w:i w:val="0"/>
          <w:caps w:val="0"/>
          <w:color w:val="333333"/>
          <w:spacing w:val="7"/>
          <w:sz w:val="18"/>
          <w:szCs w:val="18"/>
          <w:shd w:val="clear" w:fill="F5F5F5"/>
        </w:rPr>
      </w:pPr>
      <w:r>
        <w:rPr>
          <w:rFonts w:ascii="Microsoft YaHei UI" w:hAnsi="Microsoft YaHei UI" w:eastAsia="Microsoft YaHei UI" w:cs="Microsoft YaHei UI"/>
          <w:i w:val="0"/>
          <w:caps w:val="0"/>
          <w:color w:val="333333"/>
          <w:spacing w:val="7"/>
          <w:sz w:val="18"/>
          <w:szCs w:val="18"/>
          <w:shd w:val="clear" w:fill="F5F5F5"/>
        </w:rPr>
        <w:t>医学类专业录取考生入学后转专业范围限于医学类专业之内，具体转专业规定可登录复旦大学本科教学信息网和复旦大学上海医学院网站，查看</w:t>
      </w:r>
      <w:r>
        <w:rPr>
          <w:rStyle w:val="5"/>
          <w:rFonts w:hint="eastAsia" w:ascii="Microsoft YaHei UI" w:hAnsi="Microsoft YaHei UI" w:eastAsia="Microsoft YaHei UI" w:cs="Microsoft YaHei UI"/>
          <w:i w:val="0"/>
          <w:caps w:val="0"/>
          <w:color w:val="C61817"/>
          <w:spacing w:val="7"/>
          <w:sz w:val="18"/>
          <w:szCs w:val="18"/>
          <w:bdr w:val="none" w:color="auto" w:sz="0" w:space="0"/>
          <w:shd w:val="clear" w:fill="F5F5F5"/>
        </w:rPr>
        <w:t>《复旦大学本科生转专业实施细则》《复旦大学上海医学院本科生转专业管理办法》</w:t>
      </w:r>
      <w:r>
        <w:rPr>
          <w:rFonts w:hint="eastAsia" w:ascii="Microsoft YaHei UI" w:hAnsi="Microsoft YaHei UI" w:eastAsia="Microsoft YaHei UI" w:cs="Microsoft YaHei UI"/>
          <w:i w:val="0"/>
          <w:caps w:val="0"/>
          <w:color w:val="333333"/>
          <w:spacing w:val="7"/>
          <w:sz w:val="18"/>
          <w:szCs w:val="18"/>
          <w:shd w:val="clear" w:fill="F5F5F5"/>
        </w:rPr>
        <w:t>等文件。</w:t>
      </w:r>
    </w:p>
    <w:p>
      <w:pPr>
        <w:rPr>
          <w:rFonts w:hint="eastAsia" w:ascii="Microsoft YaHei UI" w:hAnsi="Microsoft YaHei UI" w:eastAsia="Microsoft YaHei UI" w:cs="Microsoft YaHei UI"/>
          <w:i w:val="0"/>
          <w:caps w:val="0"/>
          <w:color w:val="333333"/>
          <w:spacing w:val="7"/>
          <w:sz w:val="18"/>
          <w:szCs w:val="18"/>
          <w:shd w:val="clear" w:fill="F5F5F5"/>
        </w:rPr>
      </w:pPr>
    </w:p>
    <w:p>
      <w:pPr>
        <w:rPr>
          <w:rFonts w:ascii="Microsoft YaHei UI" w:hAnsi="Microsoft YaHei UI" w:eastAsia="Microsoft YaHei UI" w:cs="Microsoft YaHei UI"/>
          <w:i w:val="0"/>
          <w:caps w:val="0"/>
          <w:color w:val="333333"/>
          <w:spacing w:val="7"/>
          <w:sz w:val="18"/>
          <w:szCs w:val="18"/>
          <w:shd w:val="clear" w:fill="F5F5F5"/>
        </w:rPr>
      </w:pPr>
      <w:r>
        <w:rPr>
          <w:rFonts w:ascii="Microsoft YaHei UI" w:hAnsi="Microsoft YaHei UI" w:eastAsia="Microsoft YaHei UI" w:cs="Microsoft YaHei UI"/>
          <w:i w:val="0"/>
          <w:caps w:val="0"/>
          <w:color w:val="333333"/>
          <w:spacing w:val="7"/>
          <w:sz w:val="18"/>
          <w:szCs w:val="18"/>
          <w:shd w:val="clear" w:fill="F5F5F5"/>
        </w:rPr>
        <w:t>理科考生高考成绩须达到所在省（区、市）第一批本科录取控制分数线上70分，高考总分非750分制省份按比例折算；实施高考改革的浙江省考生高考成绩须达到第一段分数线上70分。对于合并本科批次的省份，上述分数线参照该省份确定的自主招生相应最低录取控制分数线执行。</w:t>
      </w:r>
    </w:p>
    <w:p>
      <w:pPr>
        <w:rPr>
          <w:rFonts w:ascii="Microsoft YaHei UI" w:hAnsi="Microsoft YaHei UI" w:eastAsia="Microsoft YaHei UI" w:cs="Microsoft YaHei UI"/>
          <w:i w:val="0"/>
          <w:caps w:val="0"/>
          <w:color w:val="333333"/>
          <w:spacing w:val="7"/>
          <w:sz w:val="18"/>
          <w:szCs w:val="18"/>
          <w:shd w:val="clear" w:fill="F5F5F5"/>
        </w:rPr>
      </w:pPr>
    </w:p>
    <w:p>
      <w:pPr>
        <w:rPr>
          <w:rFonts w:hint="eastAsia" w:ascii="Microsoft YaHei UI" w:hAnsi="Microsoft YaHei UI" w:eastAsia="Microsoft YaHei UI" w:cs="Microsoft YaHei UI"/>
          <w:i w:val="0"/>
          <w:caps w:val="0"/>
          <w:color w:val="333333"/>
          <w:spacing w:val="7"/>
          <w:sz w:val="18"/>
          <w:szCs w:val="18"/>
          <w:shd w:val="clear" w:fill="F5F5F5"/>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31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2019-04-08T11:47:46Z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